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D02D9">
      <w:pPr>
        <w:rPr>
          <w:rFonts w:ascii="Times New Roman" w:hAnsi="Times New Roman" w:eastAsia="黑体" w:cs="Calibri"/>
          <w:sz w:val="32"/>
          <w:szCs w:val="32"/>
        </w:rPr>
      </w:pPr>
      <w:bookmarkStart w:id="0" w:name="_GoBack"/>
      <w:bookmarkEnd w:id="0"/>
      <w:r>
        <w:rPr>
          <w:rFonts w:ascii="Times New Roman" w:hAnsi="黑体" w:eastAsia="黑体" w:cs="Calibri"/>
          <w:sz w:val="32"/>
          <w:szCs w:val="32"/>
        </w:rPr>
        <w:t>附件</w:t>
      </w:r>
    </w:p>
    <w:p w14:paraId="687EB432">
      <w:pPr>
        <w:jc w:val="center"/>
        <w:rPr>
          <w:rFonts w:ascii="Times New Roman" w:hAnsi="Times New Roman" w:eastAsia="仿宋_GB2312" w:cs="Calibri"/>
          <w:sz w:val="32"/>
          <w:szCs w:val="32"/>
        </w:rPr>
      </w:pPr>
      <w:r>
        <w:rPr>
          <w:rFonts w:hint="eastAsia" w:ascii="Times New Roman" w:hAnsi="Times New Roman" w:eastAsia="方正小标宋简体" w:cs="Calibri"/>
          <w:sz w:val="44"/>
          <w:szCs w:val="44"/>
          <w:lang w:eastAsia="zh-CN"/>
        </w:rPr>
        <w:t>姑苏区发改</w:t>
      </w:r>
      <w:r>
        <w:rPr>
          <w:rFonts w:ascii="Times New Roman" w:hAnsi="Times New Roman" w:eastAsia="方正小标宋简体" w:cs="Calibri"/>
          <w:sz w:val="44"/>
          <w:szCs w:val="44"/>
        </w:rPr>
        <w:t>局行政检查事项清单</w:t>
      </w:r>
    </w:p>
    <w:tbl>
      <w:tblPr>
        <w:tblStyle w:val="3"/>
        <w:tblW w:w="14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908"/>
        <w:gridCol w:w="912"/>
        <w:gridCol w:w="912"/>
        <w:gridCol w:w="852"/>
        <w:gridCol w:w="4620"/>
        <w:gridCol w:w="876"/>
        <w:gridCol w:w="1056"/>
        <w:gridCol w:w="1356"/>
        <w:gridCol w:w="1320"/>
        <w:gridCol w:w="879"/>
      </w:tblGrid>
      <w:tr w14:paraId="7E8DA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04" w:type="dxa"/>
            <w:vMerge w:val="restart"/>
            <w:vAlign w:val="center"/>
          </w:tcPr>
          <w:p w14:paraId="40E20A80">
            <w:pPr>
              <w:jc w:val="center"/>
              <w:rPr>
                <w:rFonts w:ascii="Times New Roman" w:hAnsi="Times New Roman" w:eastAsia="黑体" w:cs="Calibri"/>
                <w:kern w:val="0"/>
                <w:sz w:val="24"/>
              </w:rPr>
            </w:pPr>
            <w:r>
              <w:rPr>
                <w:rFonts w:ascii="Times New Roman" w:hAnsi="黑体" w:eastAsia="黑体" w:cs="Calibri"/>
                <w:kern w:val="0"/>
                <w:sz w:val="24"/>
              </w:rPr>
              <w:t>序号</w:t>
            </w:r>
          </w:p>
        </w:tc>
        <w:tc>
          <w:tcPr>
            <w:tcW w:w="908" w:type="dxa"/>
            <w:vMerge w:val="restart"/>
            <w:vAlign w:val="center"/>
          </w:tcPr>
          <w:p w14:paraId="5BC09F18">
            <w:pPr>
              <w:jc w:val="center"/>
              <w:rPr>
                <w:rFonts w:ascii="Times New Roman" w:hAnsi="Times New Roman" w:eastAsia="黑体" w:cs="Calibri"/>
                <w:kern w:val="0"/>
                <w:sz w:val="24"/>
              </w:rPr>
            </w:pPr>
            <w:r>
              <w:rPr>
                <w:rFonts w:ascii="Times New Roman" w:hAnsi="黑体" w:eastAsia="黑体" w:cs="Calibri"/>
                <w:kern w:val="0"/>
                <w:sz w:val="24"/>
              </w:rPr>
              <w:t>检查事项</w:t>
            </w:r>
          </w:p>
        </w:tc>
        <w:tc>
          <w:tcPr>
            <w:tcW w:w="912" w:type="dxa"/>
            <w:vMerge w:val="restart"/>
            <w:vAlign w:val="center"/>
          </w:tcPr>
          <w:p w14:paraId="3C193CC8">
            <w:pPr>
              <w:jc w:val="center"/>
              <w:rPr>
                <w:rFonts w:ascii="Times New Roman" w:hAnsi="Times New Roman" w:eastAsia="黑体" w:cs="Calibri"/>
                <w:kern w:val="0"/>
                <w:sz w:val="24"/>
              </w:rPr>
            </w:pPr>
            <w:r>
              <w:rPr>
                <w:rFonts w:ascii="Times New Roman" w:hAnsi="黑体" w:eastAsia="黑体" w:cs="Calibri"/>
                <w:kern w:val="0"/>
                <w:sz w:val="24"/>
              </w:rPr>
              <w:t>检查主体</w:t>
            </w:r>
          </w:p>
        </w:tc>
        <w:tc>
          <w:tcPr>
            <w:tcW w:w="912" w:type="dxa"/>
            <w:vMerge w:val="restart"/>
            <w:vAlign w:val="center"/>
          </w:tcPr>
          <w:p w14:paraId="73239C5C">
            <w:pPr>
              <w:jc w:val="center"/>
              <w:rPr>
                <w:rFonts w:ascii="Times New Roman" w:hAnsi="Times New Roman" w:eastAsia="黑体" w:cs="Calibri"/>
                <w:kern w:val="0"/>
                <w:sz w:val="24"/>
              </w:rPr>
            </w:pPr>
            <w:r>
              <w:rPr>
                <w:rFonts w:ascii="Times New Roman" w:hAnsi="黑体" w:eastAsia="黑体" w:cs="Calibri"/>
                <w:kern w:val="0"/>
                <w:sz w:val="24"/>
              </w:rPr>
              <w:t>检查机构</w:t>
            </w:r>
          </w:p>
        </w:tc>
        <w:tc>
          <w:tcPr>
            <w:tcW w:w="852" w:type="dxa"/>
            <w:vMerge w:val="restart"/>
            <w:vAlign w:val="center"/>
          </w:tcPr>
          <w:p w14:paraId="3EE25FAA">
            <w:pPr>
              <w:jc w:val="center"/>
              <w:rPr>
                <w:rFonts w:ascii="Times New Roman" w:hAnsi="Times New Roman" w:eastAsia="黑体" w:cs="Calibri"/>
                <w:kern w:val="0"/>
                <w:sz w:val="24"/>
              </w:rPr>
            </w:pPr>
            <w:r>
              <w:rPr>
                <w:rFonts w:ascii="Times New Roman" w:hAnsi="黑体" w:eastAsia="黑体" w:cs="Calibri"/>
                <w:kern w:val="0"/>
                <w:sz w:val="24"/>
              </w:rPr>
              <w:t>检查对象</w:t>
            </w:r>
          </w:p>
        </w:tc>
        <w:tc>
          <w:tcPr>
            <w:tcW w:w="4620" w:type="dxa"/>
            <w:vMerge w:val="restart"/>
            <w:vAlign w:val="center"/>
          </w:tcPr>
          <w:p w14:paraId="7F81FB6B">
            <w:pPr>
              <w:jc w:val="center"/>
              <w:rPr>
                <w:rFonts w:ascii="Times New Roman" w:hAnsi="Times New Roman" w:eastAsia="黑体" w:cs="Calibri"/>
                <w:kern w:val="0"/>
                <w:sz w:val="24"/>
              </w:rPr>
            </w:pPr>
            <w:r>
              <w:rPr>
                <w:rFonts w:ascii="Times New Roman" w:hAnsi="Times New Roman" w:eastAsia="黑体" w:cs="Calibri"/>
                <w:kern w:val="0"/>
                <w:sz w:val="24"/>
              </w:rPr>
              <w:t>检查依据</w:t>
            </w:r>
          </w:p>
        </w:tc>
        <w:tc>
          <w:tcPr>
            <w:tcW w:w="876" w:type="dxa"/>
            <w:vMerge w:val="restart"/>
            <w:vAlign w:val="center"/>
          </w:tcPr>
          <w:p w14:paraId="4EEFCD62">
            <w:pPr>
              <w:jc w:val="center"/>
              <w:rPr>
                <w:rFonts w:ascii="Times New Roman" w:hAnsi="Times New Roman" w:eastAsia="黑体" w:cs="Calibri"/>
                <w:kern w:val="0"/>
                <w:sz w:val="24"/>
              </w:rPr>
            </w:pPr>
            <w:r>
              <w:rPr>
                <w:rFonts w:ascii="Times New Roman" w:hAnsi="黑体" w:eastAsia="黑体" w:cs="Calibri"/>
                <w:kern w:val="0"/>
                <w:sz w:val="24"/>
              </w:rPr>
              <w:t>检查方式</w:t>
            </w:r>
          </w:p>
        </w:tc>
        <w:tc>
          <w:tcPr>
            <w:tcW w:w="1056" w:type="dxa"/>
            <w:vMerge w:val="restart"/>
            <w:vAlign w:val="center"/>
          </w:tcPr>
          <w:p w14:paraId="7D671889">
            <w:pPr>
              <w:jc w:val="center"/>
              <w:rPr>
                <w:rFonts w:ascii="Times New Roman" w:hAnsi="黑体" w:eastAsia="黑体" w:cs="Calibri"/>
                <w:kern w:val="0"/>
                <w:sz w:val="24"/>
              </w:rPr>
            </w:pPr>
            <w:r>
              <w:rPr>
                <w:rFonts w:ascii="Times New Roman" w:hAnsi="黑体" w:eastAsia="黑体" w:cs="Calibri"/>
                <w:kern w:val="0"/>
                <w:sz w:val="24"/>
              </w:rPr>
              <w:t>检查</w:t>
            </w:r>
          </w:p>
          <w:p w14:paraId="5F1F2BE3">
            <w:pPr>
              <w:jc w:val="center"/>
              <w:rPr>
                <w:rFonts w:ascii="Times New Roman" w:hAnsi="黑体" w:eastAsia="黑体" w:cs="Calibri"/>
                <w:kern w:val="0"/>
                <w:sz w:val="24"/>
              </w:rPr>
            </w:pPr>
            <w:r>
              <w:rPr>
                <w:rFonts w:ascii="Times New Roman" w:hAnsi="黑体" w:eastAsia="黑体" w:cs="Calibri"/>
                <w:kern w:val="0"/>
                <w:sz w:val="24"/>
              </w:rPr>
              <w:t>频次</w:t>
            </w:r>
          </w:p>
          <w:p w14:paraId="4D59FD15">
            <w:pPr>
              <w:jc w:val="center"/>
              <w:rPr>
                <w:rFonts w:ascii="Times New Roman" w:hAnsi="Times New Roman" w:eastAsia="黑体" w:cs="Calibri"/>
                <w:kern w:val="0"/>
                <w:sz w:val="24"/>
              </w:rPr>
            </w:pPr>
            <w:r>
              <w:rPr>
                <w:rFonts w:ascii="Times New Roman" w:hAnsi="黑体" w:eastAsia="黑体" w:cs="Calibri"/>
                <w:kern w:val="0"/>
                <w:sz w:val="24"/>
              </w:rPr>
              <w:t>（时间）</w:t>
            </w:r>
          </w:p>
        </w:tc>
        <w:tc>
          <w:tcPr>
            <w:tcW w:w="2676" w:type="dxa"/>
            <w:gridSpan w:val="2"/>
            <w:vAlign w:val="center"/>
          </w:tcPr>
          <w:p w14:paraId="146B6B29">
            <w:pPr>
              <w:jc w:val="center"/>
              <w:rPr>
                <w:rFonts w:ascii="Times New Roman" w:hAnsi="Times New Roman" w:eastAsia="黑体" w:cs="Calibri"/>
                <w:kern w:val="0"/>
                <w:sz w:val="24"/>
              </w:rPr>
            </w:pPr>
            <w:r>
              <w:rPr>
                <w:rFonts w:ascii="Times New Roman" w:hAnsi="黑体" w:eastAsia="黑体" w:cs="Calibri"/>
                <w:kern w:val="0"/>
                <w:sz w:val="24"/>
              </w:rPr>
              <w:t>对应的行政权力事项</w:t>
            </w:r>
          </w:p>
        </w:tc>
        <w:tc>
          <w:tcPr>
            <w:tcW w:w="879" w:type="dxa"/>
            <w:vMerge w:val="restart"/>
            <w:vAlign w:val="center"/>
          </w:tcPr>
          <w:p w14:paraId="79883FB5">
            <w:pPr>
              <w:jc w:val="center"/>
              <w:rPr>
                <w:rFonts w:ascii="Times New Roman" w:hAnsi="Times New Roman" w:eastAsia="黑体" w:cs="Calibri"/>
                <w:kern w:val="0"/>
                <w:sz w:val="24"/>
              </w:rPr>
            </w:pPr>
            <w:r>
              <w:rPr>
                <w:rFonts w:ascii="Times New Roman" w:hAnsi="黑体" w:eastAsia="黑体" w:cs="Calibri"/>
                <w:kern w:val="0"/>
                <w:sz w:val="24"/>
              </w:rPr>
              <w:t>备注</w:t>
            </w:r>
          </w:p>
        </w:tc>
      </w:tr>
      <w:tr w14:paraId="12CC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504" w:type="dxa"/>
            <w:vMerge w:val="continue"/>
            <w:vAlign w:val="center"/>
          </w:tcPr>
          <w:p w14:paraId="4E50932F">
            <w:pPr>
              <w:jc w:val="center"/>
              <w:rPr>
                <w:rFonts w:ascii="Times New Roman" w:hAnsi="Times New Roman" w:eastAsia="黑体" w:cs="Calibri"/>
                <w:kern w:val="0"/>
                <w:sz w:val="24"/>
              </w:rPr>
            </w:pPr>
          </w:p>
        </w:tc>
        <w:tc>
          <w:tcPr>
            <w:tcW w:w="908" w:type="dxa"/>
            <w:vMerge w:val="continue"/>
            <w:vAlign w:val="center"/>
          </w:tcPr>
          <w:p w14:paraId="4F3B69FC">
            <w:pPr>
              <w:jc w:val="center"/>
              <w:rPr>
                <w:rFonts w:ascii="Times New Roman" w:hAnsi="Times New Roman" w:eastAsia="黑体" w:cs="Calibri"/>
                <w:kern w:val="0"/>
                <w:sz w:val="24"/>
              </w:rPr>
            </w:pPr>
          </w:p>
        </w:tc>
        <w:tc>
          <w:tcPr>
            <w:tcW w:w="912" w:type="dxa"/>
            <w:vMerge w:val="continue"/>
            <w:vAlign w:val="center"/>
          </w:tcPr>
          <w:p w14:paraId="4A106044">
            <w:pPr>
              <w:jc w:val="center"/>
              <w:rPr>
                <w:rFonts w:ascii="Times New Roman" w:hAnsi="Times New Roman" w:eastAsia="黑体" w:cs="Calibri"/>
                <w:kern w:val="0"/>
                <w:sz w:val="24"/>
              </w:rPr>
            </w:pPr>
          </w:p>
        </w:tc>
        <w:tc>
          <w:tcPr>
            <w:tcW w:w="912" w:type="dxa"/>
            <w:vMerge w:val="continue"/>
            <w:vAlign w:val="center"/>
          </w:tcPr>
          <w:p w14:paraId="293E5164">
            <w:pPr>
              <w:jc w:val="center"/>
              <w:rPr>
                <w:rFonts w:ascii="Times New Roman" w:hAnsi="Times New Roman" w:eastAsia="黑体" w:cs="Calibri"/>
                <w:kern w:val="0"/>
                <w:sz w:val="24"/>
              </w:rPr>
            </w:pPr>
          </w:p>
        </w:tc>
        <w:tc>
          <w:tcPr>
            <w:tcW w:w="852" w:type="dxa"/>
            <w:vMerge w:val="continue"/>
            <w:vAlign w:val="center"/>
          </w:tcPr>
          <w:p w14:paraId="327FAFEF">
            <w:pPr>
              <w:jc w:val="center"/>
              <w:rPr>
                <w:rFonts w:ascii="Times New Roman" w:hAnsi="Times New Roman" w:eastAsia="黑体" w:cs="Calibri"/>
                <w:kern w:val="0"/>
                <w:sz w:val="24"/>
              </w:rPr>
            </w:pPr>
          </w:p>
        </w:tc>
        <w:tc>
          <w:tcPr>
            <w:tcW w:w="4620" w:type="dxa"/>
            <w:vMerge w:val="continue"/>
            <w:vAlign w:val="center"/>
          </w:tcPr>
          <w:p w14:paraId="676A9CC5">
            <w:pPr>
              <w:jc w:val="center"/>
              <w:rPr>
                <w:rFonts w:ascii="Times New Roman" w:hAnsi="Times New Roman" w:eastAsia="黑体" w:cs="Calibri"/>
                <w:kern w:val="0"/>
                <w:sz w:val="24"/>
              </w:rPr>
            </w:pPr>
          </w:p>
        </w:tc>
        <w:tc>
          <w:tcPr>
            <w:tcW w:w="876" w:type="dxa"/>
            <w:vMerge w:val="continue"/>
            <w:vAlign w:val="center"/>
          </w:tcPr>
          <w:p w14:paraId="533C661F">
            <w:pPr>
              <w:jc w:val="center"/>
              <w:rPr>
                <w:rFonts w:ascii="Times New Roman" w:hAnsi="Times New Roman" w:eastAsia="黑体" w:cs="Calibri"/>
                <w:kern w:val="0"/>
                <w:sz w:val="24"/>
              </w:rPr>
            </w:pPr>
          </w:p>
        </w:tc>
        <w:tc>
          <w:tcPr>
            <w:tcW w:w="1056" w:type="dxa"/>
            <w:vMerge w:val="continue"/>
            <w:vAlign w:val="center"/>
          </w:tcPr>
          <w:p w14:paraId="398CC816">
            <w:pPr>
              <w:jc w:val="center"/>
              <w:rPr>
                <w:rFonts w:ascii="Times New Roman" w:hAnsi="Times New Roman" w:eastAsia="黑体" w:cs="Calibri"/>
                <w:kern w:val="0"/>
                <w:sz w:val="24"/>
              </w:rPr>
            </w:pPr>
          </w:p>
        </w:tc>
        <w:tc>
          <w:tcPr>
            <w:tcW w:w="1356" w:type="dxa"/>
            <w:vAlign w:val="center"/>
          </w:tcPr>
          <w:p w14:paraId="01D4D850">
            <w:pPr>
              <w:jc w:val="center"/>
              <w:rPr>
                <w:rFonts w:ascii="Times New Roman" w:hAnsi="Times New Roman" w:eastAsia="黑体" w:cs="Calibri"/>
                <w:kern w:val="0"/>
                <w:sz w:val="24"/>
              </w:rPr>
            </w:pPr>
            <w:r>
              <w:rPr>
                <w:rFonts w:ascii="Times New Roman" w:hAnsi="黑体" w:eastAsia="黑体" w:cs="Calibri"/>
                <w:kern w:val="0"/>
                <w:sz w:val="24"/>
              </w:rPr>
              <w:t>权力编码</w:t>
            </w:r>
          </w:p>
        </w:tc>
        <w:tc>
          <w:tcPr>
            <w:tcW w:w="1320" w:type="dxa"/>
            <w:vAlign w:val="center"/>
          </w:tcPr>
          <w:p w14:paraId="7B7CF71A">
            <w:pPr>
              <w:jc w:val="center"/>
              <w:rPr>
                <w:rFonts w:ascii="Times New Roman" w:hAnsi="Times New Roman" w:eastAsia="黑体" w:cs="Calibri"/>
                <w:kern w:val="0"/>
                <w:sz w:val="24"/>
              </w:rPr>
            </w:pPr>
            <w:r>
              <w:rPr>
                <w:rFonts w:ascii="Times New Roman" w:hAnsi="黑体" w:eastAsia="黑体" w:cs="Calibri"/>
                <w:kern w:val="0"/>
                <w:sz w:val="24"/>
              </w:rPr>
              <w:t>权力名称</w:t>
            </w:r>
          </w:p>
        </w:tc>
        <w:tc>
          <w:tcPr>
            <w:tcW w:w="879" w:type="dxa"/>
            <w:vMerge w:val="continue"/>
            <w:vAlign w:val="center"/>
          </w:tcPr>
          <w:p w14:paraId="34799FC0">
            <w:pPr>
              <w:jc w:val="center"/>
              <w:rPr>
                <w:rFonts w:ascii="Times New Roman" w:hAnsi="Times New Roman" w:eastAsia="黑体" w:cs="Calibri"/>
                <w:kern w:val="0"/>
                <w:sz w:val="24"/>
              </w:rPr>
            </w:pPr>
          </w:p>
        </w:tc>
      </w:tr>
      <w:tr w14:paraId="2126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4" w:hRule="atLeast"/>
          <w:jc w:val="center"/>
        </w:trPr>
        <w:tc>
          <w:tcPr>
            <w:tcW w:w="504" w:type="dxa"/>
            <w:shd w:val="clear" w:color="auto" w:fill="auto"/>
            <w:vAlign w:val="center"/>
          </w:tcPr>
          <w:p w14:paraId="6EA3AABC">
            <w:pPr>
              <w:keepNext w:val="0"/>
              <w:keepLines w:val="0"/>
              <w:pageBreakBefore w:val="0"/>
              <w:kinsoku/>
              <w:wordWrap/>
              <w:overflowPunct/>
              <w:topLinePunct w:val="0"/>
              <w:bidi w:val="0"/>
              <w:adjustRightInd/>
              <w:snapToGrid/>
              <w:spacing w:line="260" w:lineRule="exact"/>
              <w:jc w:val="center"/>
              <w:textAlignment w:val="auto"/>
              <w:rPr>
                <w:rFonts w:ascii="Times New Roman" w:hAnsi="Times New Roman" w:eastAsiaTheme="minorEastAsia" w:cstheme="minorBidi"/>
                <w:snapToGrid w:val="0"/>
                <w:kern w:val="0"/>
                <w:sz w:val="18"/>
                <w:szCs w:val="18"/>
                <w:lang w:val="en-US" w:eastAsia="zh-CN" w:bidi="ar-SA"/>
              </w:rPr>
            </w:pPr>
            <w:r>
              <w:rPr>
                <w:rFonts w:ascii="Times New Roman" w:hAnsi="Times New Roman"/>
                <w:snapToGrid w:val="0"/>
                <w:kern w:val="0"/>
                <w:sz w:val="18"/>
                <w:szCs w:val="18"/>
              </w:rPr>
              <w:t>1</w:t>
            </w:r>
          </w:p>
        </w:tc>
        <w:tc>
          <w:tcPr>
            <w:tcW w:w="908" w:type="dxa"/>
            <w:shd w:val="clear" w:color="auto" w:fill="auto"/>
            <w:vAlign w:val="center"/>
          </w:tcPr>
          <w:p w14:paraId="0FB24147">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ascii="Times New Roman" w:hAnsi="方正仿宋_GBK" w:eastAsia="方正仿宋_GBK" w:cstheme="minorBidi"/>
                <w:snapToGrid w:val="0"/>
                <w:kern w:val="0"/>
                <w:sz w:val="21"/>
                <w:szCs w:val="21"/>
                <w:shd w:val="clear" w:color="auto" w:fill="FFFFFF"/>
                <w:lang w:val="en-US" w:eastAsia="zh-CN" w:bidi="ar-SA"/>
              </w:rPr>
            </w:pPr>
            <w:r>
              <w:rPr>
                <w:rFonts w:hint="eastAsia" w:ascii="Times New Roman" w:hAnsi="方正仿宋_GBK" w:eastAsia="方正仿宋_GBK"/>
                <w:snapToGrid w:val="0"/>
                <w:kern w:val="0"/>
                <w:szCs w:val="21"/>
                <w:shd w:val="clear" w:color="auto" w:fill="FFFFFF"/>
              </w:rPr>
              <w:t>对信用服务机构出具信用报告情况的行政检查</w:t>
            </w:r>
          </w:p>
        </w:tc>
        <w:tc>
          <w:tcPr>
            <w:tcW w:w="912" w:type="dxa"/>
            <w:shd w:val="clear" w:color="auto" w:fill="auto"/>
            <w:vAlign w:val="center"/>
          </w:tcPr>
          <w:p w14:paraId="0CCB14F0">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hint="eastAsia" w:ascii="Times New Roman" w:hAnsi="方正仿宋_GBK" w:eastAsia="方正仿宋_GBK" w:cstheme="minorBidi"/>
                <w:snapToGrid w:val="0"/>
                <w:kern w:val="0"/>
                <w:sz w:val="21"/>
                <w:szCs w:val="21"/>
                <w:shd w:val="clear" w:color="auto" w:fill="FFFFFF"/>
                <w:lang w:val="en-US" w:eastAsia="zh-CN" w:bidi="ar-SA"/>
              </w:rPr>
            </w:pPr>
            <w:r>
              <w:rPr>
                <w:rFonts w:hint="eastAsia" w:ascii="Times New Roman" w:hAnsi="方正仿宋_GBK" w:eastAsia="方正仿宋_GBK"/>
                <w:snapToGrid w:val="0"/>
                <w:kern w:val="0"/>
                <w:szCs w:val="21"/>
                <w:shd w:val="clear" w:color="auto" w:fill="FFFFFF"/>
                <w:lang w:val="en-US" w:eastAsia="zh-CN"/>
              </w:rPr>
              <w:t>姑苏区发改局</w:t>
            </w:r>
          </w:p>
        </w:tc>
        <w:tc>
          <w:tcPr>
            <w:tcW w:w="912" w:type="dxa"/>
            <w:shd w:val="clear" w:color="auto" w:fill="auto"/>
            <w:vAlign w:val="center"/>
          </w:tcPr>
          <w:p w14:paraId="6B8A0CB1">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hint="eastAsia" w:ascii="Times New Roman" w:hAnsi="方正仿宋_GBK" w:eastAsia="方正仿宋_GBK" w:cstheme="minorBidi"/>
                <w:snapToGrid w:val="0"/>
                <w:kern w:val="0"/>
                <w:sz w:val="21"/>
                <w:szCs w:val="21"/>
                <w:shd w:val="clear" w:color="auto" w:fill="FFFFFF"/>
                <w:lang w:val="en-US" w:eastAsia="zh-CN" w:bidi="ar-SA"/>
              </w:rPr>
            </w:pPr>
            <w:r>
              <w:rPr>
                <w:rFonts w:hint="eastAsia" w:ascii="Times New Roman" w:hAnsi="方正仿宋_GBK" w:eastAsia="方正仿宋_GBK"/>
                <w:snapToGrid w:val="0"/>
                <w:kern w:val="0"/>
                <w:szCs w:val="21"/>
                <w:shd w:val="clear" w:color="auto" w:fill="FFFFFF"/>
                <w:lang w:eastAsia="zh-CN"/>
              </w:rPr>
              <w:t>社会发展处</w:t>
            </w:r>
          </w:p>
        </w:tc>
        <w:tc>
          <w:tcPr>
            <w:tcW w:w="852" w:type="dxa"/>
            <w:shd w:val="clear" w:color="auto" w:fill="auto"/>
            <w:vAlign w:val="center"/>
          </w:tcPr>
          <w:p w14:paraId="7B39878A">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ascii="Times New Roman" w:hAnsi="方正仿宋_GBK" w:eastAsia="方正仿宋_GBK" w:cstheme="minorBidi"/>
                <w:snapToGrid w:val="0"/>
                <w:kern w:val="0"/>
                <w:sz w:val="21"/>
                <w:szCs w:val="21"/>
                <w:shd w:val="clear" w:color="auto" w:fill="FFFFFF"/>
                <w:lang w:val="en-US" w:eastAsia="zh-CN" w:bidi="ar-SA"/>
              </w:rPr>
            </w:pPr>
            <w:r>
              <w:rPr>
                <w:rFonts w:hint="eastAsia" w:ascii="Times New Roman" w:hAnsi="方正仿宋_GBK" w:eastAsia="方正仿宋_GBK"/>
                <w:snapToGrid w:val="0"/>
                <w:kern w:val="0"/>
                <w:szCs w:val="21"/>
                <w:shd w:val="clear" w:color="auto" w:fill="FFFFFF"/>
                <w:lang w:val="en-US" w:eastAsia="zh-CN"/>
              </w:rPr>
              <w:t>在“江苏省信用服务机构管理系统”登记的</w:t>
            </w:r>
            <w:r>
              <w:rPr>
                <w:rFonts w:hint="eastAsia" w:ascii="Times New Roman" w:hAnsi="方正仿宋_GBK" w:eastAsia="方正仿宋_GBK"/>
                <w:snapToGrid w:val="0"/>
                <w:kern w:val="0"/>
                <w:szCs w:val="21"/>
                <w:shd w:val="clear" w:color="auto" w:fill="FFFFFF"/>
              </w:rPr>
              <w:t>信用服务机构</w:t>
            </w:r>
          </w:p>
        </w:tc>
        <w:tc>
          <w:tcPr>
            <w:tcW w:w="4620" w:type="dxa"/>
            <w:shd w:val="clear" w:color="auto" w:fill="auto"/>
            <w:vAlign w:val="center"/>
          </w:tcPr>
          <w:p w14:paraId="7951234E">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hint="eastAsia" w:ascii="Times New Roman" w:hAnsi="方正仿宋_GBK" w:eastAsia="方正仿宋_GBK"/>
                <w:snapToGrid w:val="0"/>
                <w:kern w:val="0"/>
                <w:szCs w:val="21"/>
                <w:shd w:val="clear" w:color="auto" w:fill="FFFFFF"/>
              </w:rPr>
            </w:pPr>
            <w:r>
              <w:rPr>
                <w:rFonts w:hint="eastAsia" w:ascii="Times New Roman" w:hAnsi="方正仿宋_GBK" w:eastAsia="方正仿宋_GBK"/>
                <w:snapToGrid w:val="0"/>
                <w:kern w:val="0"/>
                <w:szCs w:val="21"/>
                <w:shd w:val="clear" w:color="auto" w:fill="FFFFFF"/>
              </w:rPr>
              <w:t>《江苏省社会信用条例》</w:t>
            </w:r>
          </w:p>
          <w:p w14:paraId="05386D0E">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hint="eastAsia" w:ascii="Times New Roman" w:hAnsi="方正仿宋_GBK" w:eastAsia="方正仿宋_GBK"/>
                <w:snapToGrid w:val="0"/>
                <w:kern w:val="0"/>
                <w:szCs w:val="21"/>
                <w:shd w:val="clear" w:color="auto" w:fill="FFFFFF"/>
              </w:rPr>
            </w:pPr>
            <w:r>
              <w:rPr>
                <w:rFonts w:hint="eastAsia" w:ascii="Times New Roman" w:hAnsi="方正仿宋_GBK" w:eastAsia="方正仿宋_GBK"/>
                <w:snapToGrid w:val="0"/>
                <w:kern w:val="0"/>
                <w:szCs w:val="21"/>
                <w:shd w:val="clear" w:color="auto" w:fill="FFFFFF"/>
              </w:rPr>
              <w:t>第五十五条 鼓励国家机关、法律法规授权的具有管理公共事务职能的组织、市场主体以及其他社会组织应用信用服务机构提供的信用产品和服务。</w:t>
            </w:r>
          </w:p>
          <w:p w14:paraId="63A82D3E">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hint="eastAsia" w:ascii="Times New Roman" w:hAnsi="方正仿宋_GBK" w:eastAsia="方正仿宋_GBK"/>
                <w:snapToGrid w:val="0"/>
                <w:kern w:val="0"/>
                <w:szCs w:val="21"/>
                <w:shd w:val="clear" w:color="auto" w:fill="FFFFFF"/>
              </w:rPr>
            </w:pPr>
            <w:r>
              <w:rPr>
                <w:rFonts w:hint="eastAsia" w:ascii="Times New Roman" w:hAnsi="方正仿宋_GBK" w:eastAsia="方正仿宋_GBK"/>
                <w:snapToGrid w:val="0"/>
                <w:kern w:val="0"/>
                <w:szCs w:val="21"/>
                <w:shd w:val="clear" w:color="auto" w:fill="FFFFFF"/>
              </w:rPr>
              <w:t>第五十九条 社会信用综合管理部门和其他相关监督管理部门，可以对信用服务机构采取下列监督管理措施：</w:t>
            </w:r>
          </w:p>
          <w:p w14:paraId="4D0F730D">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hint="eastAsia" w:ascii="Times New Roman" w:hAnsi="方正仿宋_GBK" w:eastAsia="方正仿宋_GBK"/>
                <w:snapToGrid w:val="0"/>
                <w:kern w:val="0"/>
                <w:szCs w:val="21"/>
                <w:shd w:val="clear" w:color="auto" w:fill="FFFFFF"/>
              </w:rPr>
            </w:pPr>
            <w:r>
              <w:rPr>
                <w:rFonts w:hint="eastAsia" w:ascii="Times New Roman" w:hAnsi="方正仿宋_GBK" w:eastAsia="方正仿宋_GBK"/>
                <w:snapToGrid w:val="0"/>
                <w:kern w:val="0"/>
                <w:szCs w:val="21"/>
                <w:shd w:val="clear" w:color="auto" w:fill="FFFFFF"/>
              </w:rPr>
              <w:t>（一）进入被调查单位的有关场所进行检查；</w:t>
            </w:r>
          </w:p>
          <w:p w14:paraId="31B8F7B9">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hint="eastAsia" w:ascii="Times New Roman" w:hAnsi="方正仿宋_GBK" w:eastAsia="方正仿宋_GBK"/>
                <w:snapToGrid w:val="0"/>
                <w:kern w:val="0"/>
                <w:szCs w:val="21"/>
                <w:shd w:val="clear" w:color="auto" w:fill="FFFFFF"/>
              </w:rPr>
            </w:pPr>
            <w:r>
              <w:rPr>
                <w:rFonts w:hint="eastAsia" w:ascii="Times New Roman" w:hAnsi="方正仿宋_GBK" w:eastAsia="方正仿宋_GBK"/>
                <w:snapToGrid w:val="0"/>
                <w:kern w:val="0"/>
                <w:szCs w:val="21"/>
                <w:shd w:val="clear" w:color="auto" w:fill="FFFFFF"/>
              </w:rPr>
              <w:t>（二）询问被调查的单位、个人或者其他利害关系人；</w:t>
            </w:r>
          </w:p>
          <w:p w14:paraId="6137E7DB">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hint="eastAsia" w:ascii="Times New Roman" w:hAnsi="方正仿宋_GBK" w:eastAsia="方正仿宋_GBK"/>
                <w:snapToGrid w:val="0"/>
                <w:kern w:val="0"/>
                <w:szCs w:val="21"/>
                <w:shd w:val="clear" w:color="auto" w:fill="FFFFFF"/>
              </w:rPr>
            </w:pPr>
            <w:r>
              <w:rPr>
                <w:rFonts w:hint="eastAsia" w:ascii="Times New Roman" w:hAnsi="方正仿宋_GBK" w:eastAsia="方正仿宋_GBK"/>
                <w:snapToGrid w:val="0"/>
                <w:kern w:val="0"/>
                <w:szCs w:val="21"/>
                <w:shd w:val="clear" w:color="auto" w:fill="FFFFFF"/>
              </w:rPr>
              <w:t>（三）要求被调查的单位、个人提供证明材料、数据和技术支持或者与被调查行为有关的其他资料；</w:t>
            </w:r>
          </w:p>
          <w:p w14:paraId="55865D11">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hint="eastAsia" w:ascii="Times New Roman" w:hAnsi="方正仿宋_GBK" w:eastAsia="方正仿宋_GBK"/>
                <w:snapToGrid w:val="0"/>
                <w:kern w:val="0"/>
                <w:szCs w:val="21"/>
                <w:shd w:val="clear" w:color="auto" w:fill="FFFFFF"/>
              </w:rPr>
            </w:pPr>
            <w:r>
              <w:rPr>
                <w:rFonts w:hint="eastAsia" w:ascii="Times New Roman" w:hAnsi="方正仿宋_GBK" w:eastAsia="方正仿宋_GBK"/>
                <w:snapToGrid w:val="0"/>
                <w:kern w:val="0"/>
                <w:szCs w:val="21"/>
                <w:shd w:val="clear" w:color="auto" w:fill="FFFFFF"/>
              </w:rPr>
              <w:t>（四）查询、复制与被调查行为有关的会计凭证、账簿、对账单、协议、电子数据、视听资料等；</w:t>
            </w:r>
          </w:p>
          <w:p w14:paraId="086CE015">
            <w:pPr>
              <w:keepNext w:val="0"/>
              <w:keepLines w:val="0"/>
              <w:pageBreakBefore w:val="0"/>
              <w:widowControl/>
              <w:kinsoku/>
              <w:wordWrap/>
              <w:overflowPunct/>
              <w:topLinePunct w:val="0"/>
              <w:autoSpaceDE w:val="0"/>
              <w:autoSpaceDN w:val="0"/>
              <w:bidi w:val="0"/>
              <w:adjustRightInd/>
              <w:snapToGrid/>
              <w:spacing w:line="260" w:lineRule="exact"/>
              <w:jc w:val="left"/>
              <w:textAlignment w:val="auto"/>
              <w:rPr>
                <w:rFonts w:ascii="Times New Roman" w:hAnsi="Times New Roman" w:eastAsiaTheme="minorEastAsia" w:cstheme="minorBidi"/>
                <w:snapToGrid w:val="0"/>
                <w:kern w:val="0"/>
                <w:sz w:val="18"/>
                <w:szCs w:val="18"/>
                <w:lang w:val="en-US" w:eastAsia="zh-CN" w:bidi="ar-SA"/>
              </w:rPr>
            </w:pPr>
            <w:r>
              <w:rPr>
                <w:rFonts w:hint="eastAsia" w:ascii="Times New Roman" w:hAnsi="方正仿宋_GBK" w:eastAsia="方正仿宋_GBK"/>
                <w:snapToGrid w:val="0"/>
                <w:kern w:val="0"/>
                <w:szCs w:val="21"/>
                <w:shd w:val="clear" w:color="auto" w:fill="FFFFFF"/>
              </w:rPr>
              <w:t>（五）法律、法规规定的其他措施。</w:t>
            </w:r>
          </w:p>
        </w:tc>
        <w:tc>
          <w:tcPr>
            <w:tcW w:w="876" w:type="dxa"/>
            <w:shd w:val="clear" w:color="auto" w:fill="auto"/>
            <w:vAlign w:val="center"/>
          </w:tcPr>
          <w:p w14:paraId="04F9BB1E">
            <w:pPr>
              <w:keepNext w:val="0"/>
              <w:keepLines w:val="0"/>
              <w:pageBreakBefore w:val="0"/>
              <w:kinsoku/>
              <w:wordWrap/>
              <w:overflowPunct/>
              <w:topLinePunct w:val="0"/>
              <w:bidi w:val="0"/>
              <w:adjustRightInd/>
              <w:snapToGrid/>
              <w:spacing w:line="260" w:lineRule="exact"/>
              <w:jc w:val="left"/>
              <w:textAlignment w:val="auto"/>
              <w:rPr>
                <w:rFonts w:ascii="Times New Roman" w:hAnsi="Times New Roman" w:eastAsiaTheme="minorEastAsia" w:cstheme="minorBidi"/>
                <w:snapToGrid w:val="0"/>
                <w:kern w:val="0"/>
                <w:sz w:val="18"/>
                <w:szCs w:val="18"/>
                <w:lang w:val="en-US" w:eastAsia="zh-CN" w:bidi="ar-SA"/>
              </w:rPr>
            </w:pPr>
            <w:r>
              <w:rPr>
                <w:rFonts w:hint="eastAsia" w:ascii="Times New Roman" w:hAnsi="方正仿宋_GBK" w:eastAsia="方正仿宋_GBK"/>
                <w:snapToGrid w:val="0"/>
                <w:kern w:val="0"/>
                <w:szCs w:val="21"/>
                <w:shd w:val="clear" w:color="auto" w:fill="FFFFFF"/>
              </w:rPr>
              <w:t>现场检查、书面检查</w:t>
            </w:r>
          </w:p>
        </w:tc>
        <w:tc>
          <w:tcPr>
            <w:tcW w:w="1056" w:type="dxa"/>
            <w:shd w:val="clear" w:color="auto" w:fill="auto"/>
            <w:vAlign w:val="center"/>
          </w:tcPr>
          <w:p w14:paraId="365487E7">
            <w:pPr>
              <w:keepNext w:val="0"/>
              <w:keepLines w:val="0"/>
              <w:pageBreakBefore w:val="0"/>
              <w:kinsoku/>
              <w:wordWrap/>
              <w:overflowPunct/>
              <w:topLinePunct w:val="0"/>
              <w:bidi w:val="0"/>
              <w:adjustRightInd/>
              <w:snapToGrid/>
              <w:spacing w:line="260" w:lineRule="exact"/>
              <w:jc w:val="left"/>
              <w:textAlignment w:val="auto"/>
              <w:rPr>
                <w:rFonts w:ascii="Times New Roman" w:hAnsi="Times New Roman" w:eastAsiaTheme="minorEastAsia" w:cstheme="minorBidi"/>
                <w:b/>
                <w:snapToGrid w:val="0"/>
                <w:kern w:val="0"/>
                <w:sz w:val="18"/>
                <w:szCs w:val="18"/>
                <w:lang w:val="en-US" w:eastAsia="zh-CN" w:bidi="ar-SA"/>
              </w:rPr>
            </w:pPr>
            <w:r>
              <w:rPr>
                <w:rFonts w:hint="eastAsia" w:ascii="Times New Roman" w:hAnsi="方正仿宋_GBK" w:eastAsia="方正仿宋_GBK"/>
                <w:snapToGrid w:val="0"/>
                <w:kern w:val="0"/>
                <w:szCs w:val="21"/>
                <w:shd w:val="clear" w:color="auto" w:fill="FFFFFF"/>
                <w:lang w:val="en-US" w:eastAsia="zh-CN"/>
              </w:rPr>
              <w:t>按照苏州市发改委每年“双随机、一公开”检查随机抽取结果对信用服务机构进行检查</w:t>
            </w:r>
          </w:p>
        </w:tc>
        <w:tc>
          <w:tcPr>
            <w:tcW w:w="1356" w:type="dxa"/>
            <w:shd w:val="clear" w:color="auto" w:fill="auto"/>
            <w:vAlign w:val="center"/>
          </w:tcPr>
          <w:p w14:paraId="4476E216">
            <w:pPr>
              <w:keepNext w:val="0"/>
              <w:keepLines w:val="0"/>
              <w:pageBreakBefore w:val="0"/>
              <w:kinsoku/>
              <w:wordWrap/>
              <w:overflowPunct/>
              <w:topLinePunct w:val="0"/>
              <w:bidi w:val="0"/>
              <w:adjustRightInd/>
              <w:snapToGrid/>
              <w:spacing w:line="260" w:lineRule="exact"/>
              <w:jc w:val="left"/>
              <w:textAlignment w:val="auto"/>
              <w:rPr>
                <w:rFonts w:ascii="Times New Roman" w:hAnsi="Times New Roman" w:eastAsiaTheme="minorEastAsia" w:cstheme="minorBidi"/>
                <w:bCs/>
                <w:snapToGrid w:val="0"/>
                <w:kern w:val="0"/>
                <w:sz w:val="18"/>
                <w:szCs w:val="18"/>
                <w:lang w:val="en-US" w:eastAsia="zh-CN" w:bidi="ar-SA"/>
              </w:rPr>
            </w:pPr>
            <w:r>
              <w:rPr>
                <w:rFonts w:ascii="Times New Roman" w:hAnsi="Times New Roman"/>
                <w:b w:val="0"/>
                <w:bCs w:val="0"/>
                <w:snapToGrid w:val="0"/>
                <w:color w:val="0000FF"/>
                <w:kern w:val="0"/>
                <w:sz w:val="18"/>
                <w:szCs w:val="18"/>
              </w:rPr>
              <w:t>320204025000</w:t>
            </w:r>
          </w:p>
        </w:tc>
        <w:tc>
          <w:tcPr>
            <w:tcW w:w="1320" w:type="dxa"/>
            <w:shd w:val="clear" w:color="auto" w:fill="auto"/>
            <w:vAlign w:val="center"/>
          </w:tcPr>
          <w:p w14:paraId="761EB2C6">
            <w:pPr>
              <w:keepNext w:val="0"/>
              <w:keepLines w:val="0"/>
              <w:pageBreakBefore w:val="0"/>
              <w:kinsoku/>
              <w:wordWrap/>
              <w:overflowPunct/>
              <w:topLinePunct w:val="0"/>
              <w:bidi w:val="0"/>
              <w:adjustRightInd/>
              <w:snapToGrid/>
              <w:spacing w:line="260" w:lineRule="exact"/>
              <w:jc w:val="left"/>
              <w:textAlignment w:val="auto"/>
              <w:rPr>
                <w:rFonts w:ascii="Times New Roman" w:hAnsi="Times New Roman" w:eastAsiaTheme="minorEastAsia" w:cstheme="minorBidi"/>
                <w:bCs/>
                <w:snapToGrid w:val="0"/>
                <w:kern w:val="0"/>
                <w:sz w:val="18"/>
                <w:szCs w:val="18"/>
                <w:lang w:val="en-US" w:eastAsia="zh-CN" w:bidi="ar-SA"/>
              </w:rPr>
            </w:pPr>
            <w:r>
              <w:rPr>
                <w:rFonts w:hint="eastAsia" w:ascii="Times New Roman" w:hAnsi="方正仿宋_GBK" w:eastAsia="方正仿宋_GBK"/>
                <w:snapToGrid w:val="0"/>
                <w:kern w:val="0"/>
                <w:szCs w:val="21"/>
                <w:shd w:val="clear" w:color="auto" w:fill="FFFFFF"/>
              </w:rPr>
              <w:t>对市场信用信息采集单位违法违规开展信用服务或处理信用信息行为的处罚</w:t>
            </w:r>
          </w:p>
        </w:tc>
        <w:tc>
          <w:tcPr>
            <w:tcW w:w="879" w:type="dxa"/>
            <w:shd w:val="clear" w:color="auto" w:fill="auto"/>
            <w:vAlign w:val="center"/>
          </w:tcPr>
          <w:p w14:paraId="0C041924">
            <w:pPr>
              <w:keepNext w:val="0"/>
              <w:keepLines w:val="0"/>
              <w:pageBreakBefore w:val="0"/>
              <w:kinsoku/>
              <w:wordWrap/>
              <w:overflowPunct/>
              <w:topLinePunct w:val="0"/>
              <w:bidi w:val="0"/>
              <w:adjustRightInd/>
              <w:snapToGrid/>
              <w:spacing w:line="260" w:lineRule="exact"/>
              <w:jc w:val="left"/>
              <w:textAlignment w:val="auto"/>
              <w:rPr>
                <w:rFonts w:ascii="Times New Roman" w:hAnsi="Times New Roman" w:eastAsiaTheme="minorEastAsia" w:cstheme="minorBidi"/>
                <w:b/>
                <w:snapToGrid w:val="0"/>
                <w:kern w:val="0"/>
                <w:sz w:val="18"/>
                <w:szCs w:val="18"/>
                <w:lang w:val="en-US" w:eastAsia="zh-CN" w:bidi="ar-SA"/>
              </w:rPr>
            </w:pPr>
          </w:p>
        </w:tc>
      </w:tr>
      <w:tr w14:paraId="1005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504" w:type="dxa"/>
            <w:vMerge w:val="restart"/>
            <w:shd w:val="clear" w:color="auto" w:fill="auto"/>
            <w:vAlign w:val="center"/>
          </w:tcPr>
          <w:p w14:paraId="41794364">
            <w:pPr>
              <w:jc w:val="center"/>
              <w:rPr>
                <w:rFonts w:ascii="Times New Roman" w:hAnsi="Times New Roman"/>
                <w:snapToGrid w:val="0"/>
                <w:kern w:val="0"/>
                <w:sz w:val="18"/>
                <w:szCs w:val="18"/>
              </w:rPr>
            </w:pPr>
            <w:r>
              <w:rPr>
                <w:rFonts w:ascii="Times New Roman" w:hAnsi="黑体" w:eastAsia="黑体" w:cs="Calibri"/>
                <w:kern w:val="0"/>
                <w:sz w:val="24"/>
              </w:rPr>
              <w:t>序号</w:t>
            </w:r>
          </w:p>
        </w:tc>
        <w:tc>
          <w:tcPr>
            <w:tcW w:w="908" w:type="dxa"/>
            <w:vMerge w:val="restart"/>
            <w:shd w:val="clear" w:color="auto" w:fill="auto"/>
            <w:vAlign w:val="center"/>
          </w:tcPr>
          <w:p w14:paraId="5A38999C">
            <w:pPr>
              <w:jc w:val="center"/>
              <w:rPr>
                <w:rFonts w:hint="eastAsia" w:ascii="Times New Roman" w:hAnsi="方正仿宋_GBK" w:eastAsia="方正仿宋_GBK"/>
                <w:snapToGrid w:val="0"/>
                <w:kern w:val="0"/>
                <w:szCs w:val="21"/>
                <w:shd w:val="clear" w:color="auto" w:fill="FFFFFF"/>
              </w:rPr>
            </w:pPr>
            <w:r>
              <w:rPr>
                <w:rFonts w:ascii="Times New Roman" w:hAnsi="黑体" w:eastAsia="黑体" w:cs="Calibri"/>
                <w:kern w:val="0"/>
                <w:sz w:val="24"/>
              </w:rPr>
              <w:t>检查事项</w:t>
            </w:r>
          </w:p>
        </w:tc>
        <w:tc>
          <w:tcPr>
            <w:tcW w:w="912" w:type="dxa"/>
            <w:vMerge w:val="restart"/>
            <w:shd w:val="clear" w:color="auto" w:fill="auto"/>
            <w:vAlign w:val="center"/>
          </w:tcPr>
          <w:p w14:paraId="581E69A9">
            <w:pPr>
              <w:jc w:val="center"/>
              <w:rPr>
                <w:rFonts w:hint="eastAsia" w:ascii="Times New Roman" w:hAnsi="方正仿宋_GBK" w:eastAsia="方正仿宋_GBK"/>
                <w:snapToGrid w:val="0"/>
                <w:kern w:val="0"/>
                <w:szCs w:val="21"/>
                <w:shd w:val="clear" w:color="auto" w:fill="FFFFFF"/>
                <w:lang w:val="en-US" w:eastAsia="zh-CN"/>
              </w:rPr>
            </w:pPr>
            <w:r>
              <w:rPr>
                <w:rFonts w:ascii="Times New Roman" w:hAnsi="黑体" w:eastAsia="黑体" w:cs="Calibri"/>
                <w:kern w:val="0"/>
                <w:sz w:val="24"/>
              </w:rPr>
              <w:t>检查主体</w:t>
            </w:r>
          </w:p>
        </w:tc>
        <w:tc>
          <w:tcPr>
            <w:tcW w:w="912" w:type="dxa"/>
            <w:vMerge w:val="restart"/>
            <w:shd w:val="clear" w:color="auto" w:fill="auto"/>
            <w:vAlign w:val="center"/>
          </w:tcPr>
          <w:p w14:paraId="025F2A85">
            <w:pPr>
              <w:jc w:val="center"/>
              <w:rPr>
                <w:rFonts w:hint="eastAsia" w:ascii="Times New Roman" w:hAnsi="方正仿宋_GBK" w:eastAsia="方正仿宋_GBK"/>
                <w:snapToGrid w:val="0"/>
                <w:kern w:val="0"/>
                <w:szCs w:val="21"/>
                <w:shd w:val="clear" w:color="auto" w:fill="FFFFFF"/>
                <w:lang w:eastAsia="zh-CN"/>
              </w:rPr>
            </w:pPr>
            <w:r>
              <w:rPr>
                <w:rFonts w:ascii="Times New Roman" w:hAnsi="黑体" w:eastAsia="黑体" w:cs="Calibri"/>
                <w:kern w:val="0"/>
                <w:sz w:val="24"/>
              </w:rPr>
              <w:t>检查机构</w:t>
            </w:r>
          </w:p>
        </w:tc>
        <w:tc>
          <w:tcPr>
            <w:tcW w:w="852" w:type="dxa"/>
            <w:vMerge w:val="restart"/>
            <w:shd w:val="clear" w:color="auto" w:fill="auto"/>
            <w:vAlign w:val="center"/>
          </w:tcPr>
          <w:p w14:paraId="60320582">
            <w:pPr>
              <w:jc w:val="center"/>
              <w:rPr>
                <w:rFonts w:hint="eastAsia" w:ascii="Times New Roman" w:hAnsi="方正仿宋_GBK" w:eastAsia="方正仿宋_GBK"/>
                <w:snapToGrid w:val="0"/>
                <w:kern w:val="0"/>
                <w:szCs w:val="21"/>
                <w:shd w:val="clear" w:color="auto" w:fill="FFFFFF"/>
                <w:lang w:val="en-US" w:eastAsia="zh-CN"/>
              </w:rPr>
            </w:pPr>
            <w:r>
              <w:rPr>
                <w:rFonts w:ascii="Times New Roman" w:hAnsi="黑体" w:eastAsia="黑体" w:cs="Calibri"/>
                <w:kern w:val="0"/>
                <w:sz w:val="24"/>
              </w:rPr>
              <w:t>检查对象</w:t>
            </w:r>
          </w:p>
        </w:tc>
        <w:tc>
          <w:tcPr>
            <w:tcW w:w="4620" w:type="dxa"/>
            <w:vMerge w:val="restart"/>
            <w:shd w:val="clear" w:color="auto" w:fill="auto"/>
            <w:vAlign w:val="center"/>
          </w:tcPr>
          <w:p w14:paraId="3D1F8063">
            <w:pPr>
              <w:jc w:val="center"/>
              <w:rPr>
                <w:rFonts w:hint="eastAsia" w:ascii="Times New Roman" w:hAnsi="方正仿宋_GBK" w:eastAsia="方正仿宋_GBK"/>
                <w:snapToGrid w:val="0"/>
                <w:kern w:val="0"/>
                <w:szCs w:val="21"/>
                <w:shd w:val="clear" w:color="auto" w:fill="FFFFFF"/>
              </w:rPr>
            </w:pPr>
            <w:r>
              <w:rPr>
                <w:rFonts w:ascii="Times New Roman" w:hAnsi="Times New Roman" w:eastAsia="黑体" w:cs="Calibri"/>
                <w:kern w:val="0"/>
                <w:sz w:val="24"/>
              </w:rPr>
              <w:t>检查依据</w:t>
            </w:r>
          </w:p>
        </w:tc>
        <w:tc>
          <w:tcPr>
            <w:tcW w:w="876" w:type="dxa"/>
            <w:vMerge w:val="restart"/>
            <w:shd w:val="clear" w:color="auto" w:fill="auto"/>
            <w:vAlign w:val="center"/>
          </w:tcPr>
          <w:p w14:paraId="36C02EFB">
            <w:pPr>
              <w:jc w:val="center"/>
              <w:rPr>
                <w:rFonts w:hint="eastAsia" w:ascii="Times New Roman" w:hAnsi="方正仿宋_GBK" w:eastAsia="方正仿宋_GBK"/>
                <w:snapToGrid w:val="0"/>
                <w:kern w:val="0"/>
                <w:szCs w:val="21"/>
                <w:shd w:val="clear" w:color="auto" w:fill="FFFFFF"/>
              </w:rPr>
            </w:pPr>
            <w:r>
              <w:rPr>
                <w:rFonts w:ascii="Times New Roman" w:hAnsi="黑体" w:eastAsia="黑体" w:cs="Calibri"/>
                <w:kern w:val="0"/>
                <w:sz w:val="24"/>
              </w:rPr>
              <w:t>检查方式</w:t>
            </w:r>
          </w:p>
        </w:tc>
        <w:tc>
          <w:tcPr>
            <w:tcW w:w="1056" w:type="dxa"/>
            <w:vMerge w:val="restart"/>
            <w:shd w:val="clear" w:color="auto" w:fill="auto"/>
            <w:vAlign w:val="center"/>
          </w:tcPr>
          <w:p w14:paraId="3B4B675C">
            <w:pPr>
              <w:jc w:val="center"/>
              <w:rPr>
                <w:rFonts w:ascii="Times New Roman" w:hAnsi="黑体" w:eastAsia="黑体" w:cs="Calibri"/>
                <w:kern w:val="0"/>
                <w:sz w:val="24"/>
              </w:rPr>
            </w:pPr>
            <w:r>
              <w:rPr>
                <w:rFonts w:ascii="Times New Roman" w:hAnsi="黑体" w:eastAsia="黑体" w:cs="Calibri"/>
                <w:kern w:val="0"/>
                <w:sz w:val="24"/>
              </w:rPr>
              <w:t>检查</w:t>
            </w:r>
          </w:p>
          <w:p w14:paraId="41AAAFE2">
            <w:pPr>
              <w:jc w:val="center"/>
              <w:rPr>
                <w:rFonts w:ascii="Times New Roman" w:hAnsi="黑体" w:eastAsia="黑体" w:cs="Calibri"/>
                <w:kern w:val="0"/>
                <w:sz w:val="24"/>
              </w:rPr>
            </w:pPr>
            <w:r>
              <w:rPr>
                <w:rFonts w:ascii="Times New Roman" w:hAnsi="黑体" w:eastAsia="黑体" w:cs="Calibri"/>
                <w:kern w:val="0"/>
                <w:sz w:val="24"/>
              </w:rPr>
              <w:t>频次</w:t>
            </w:r>
          </w:p>
          <w:p w14:paraId="2B52B6AB">
            <w:pPr>
              <w:jc w:val="center"/>
              <w:rPr>
                <w:rFonts w:hint="eastAsia" w:ascii="Times New Roman" w:hAnsi="方正仿宋_GBK" w:eastAsia="方正仿宋_GBK"/>
                <w:snapToGrid w:val="0"/>
                <w:kern w:val="0"/>
                <w:szCs w:val="21"/>
                <w:shd w:val="clear" w:color="auto" w:fill="FFFFFF"/>
                <w:lang w:val="en-US" w:eastAsia="zh-CN"/>
              </w:rPr>
            </w:pPr>
            <w:r>
              <w:rPr>
                <w:rFonts w:ascii="Times New Roman" w:hAnsi="黑体" w:eastAsia="黑体" w:cs="Calibri"/>
                <w:kern w:val="0"/>
                <w:sz w:val="24"/>
              </w:rPr>
              <w:t>（时间）</w:t>
            </w:r>
          </w:p>
        </w:tc>
        <w:tc>
          <w:tcPr>
            <w:tcW w:w="2676" w:type="dxa"/>
            <w:gridSpan w:val="2"/>
            <w:shd w:val="clear" w:color="auto" w:fill="auto"/>
            <w:vAlign w:val="center"/>
          </w:tcPr>
          <w:p w14:paraId="01BE0E1F">
            <w:pPr>
              <w:jc w:val="center"/>
              <w:rPr>
                <w:rFonts w:ascii="Times New Roman" w:hAnsi="黑体" w:eastAsia="黑体" w:cs="Calibri"/>
                <w:kern w:val="0"/>
                <w:sz w:val="24"/>
              </w:rPr>
            </w:pPr>
            <w:r>
              <w:rPr>
                <w:rFonts w:ascii="Times New Roman" w:hAnsi="黑体" w:eastAsia="黑体" w:cs="Calibri"/>
                <w:kern w:val="0"/>
                <w:sz w:val="24"/>
              </w:rPr>
              <w:t>对应的行政权力事项</w:t>
            </w:r>
          </w:p>
        </w:tc>
        <w:tc>
          <w:tcPr>
            <w:tcW w:w="879" w:type="dxa"/>
            <w:vMerge w:val="restart"/>
            <w:shd w:val="clear" w:color="auto" w:fill="auto"/>
            <w:vAlign w:val="center"/>
          </w:tcPr>
          <w:p w14:paraId="3850C566">
            <w:pPr>
              <w:jc w:val="center"/>
              <w:rPr>
                <w:rFonts w:hint="eastAsia" w:ascii="Times New Roman" w:hAnsi="Times New Roman" w:eastAsiaTheme="minorEastAsia" w:cstheme="minorBidi"/>
                <w:b/>
                <w:snapToGrid w:val="0"/>
                <w:kern w:val="0"/>
                <w:sz w:val="18"/>
                <w:szCs w:val="18"/>
                <w:lang w:val="en-US" w:eastAsia="zh-CN" w:bidi="ar-SA"/>
              </w:rPr>
            </w:pPr>
            <w:r>
              <w:rPr>
                <w:rFonts w:hint="eastAsia" w:ascii="Times New Roman" w:hAnsi="黑体" w:eastAsia="黑体" w:cs="Calibri"/>
                <w:kern w:val="0"/>
                <w:sz w:val="24"/>
                <w:lang w:eastAsia="zh-CN"/>
              </w:rPr>
              <w:t>备注</w:t>
            </w:r>
          </w:p>
        </w:tc>
      </w:tr>
      <w:tr w14:paraId="10A1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504" w:type="dxa"/>
            <w:vMerge w:val="continue"/>
            <w:shd w:val="clear" w:color="auto" w:fill="auto"/>
            <w:vAlign w:val="center"/>
          </w:tcPr>
          <w:p w14:paraId="33FC9B6F">
            <w:pPr>
              <w:jc w:val="center"/>
            </w:pPr>
          </w:p>
        </w:tc>
        <w:tc>
          <w:tcPr>
            <w:tcW w:w="908" w:type="dxa"/>
            <w:vMerge w:val="continue"/>
            <w:shd w:val="clear" w:color="auto" w:fill="auto"/>
            <w:vAlign w:val="center"/>
          </w:tcPr>
          <w:p w14:paraId="1A5D70E1">
            <w:pPr>
              <w:jc w:val="center"/>
            </w:pPr>
          </w:p>
        </w:tc>
        <w:tc>
          <w:tcPr>
            <w:tcW w:w="912" w:type="dxa"/>
            <w:vMerge w:val="continue"/>
            <w:shd w:val="clear" w:color="auto" w:fill="auto"/>
            <w:vAlign w:val="center"/>
          </w:tcPr>
          <w:p w14:paraId="449E83C1">
            <w:pPr>
              <w:jc w:val="center"/>
            </w:pPr>
          </w:p>
        </w:tc>
        <w:tc>
          <w:tcPr>
            <w:tcW w:w="912" w:type="dxa"/>
            <w:vMerge w:val="continue"/>
            <w:shd w:val="clear" w:color="auto" w:fill="auto"/>
            <w:vAlign w:val="center"/>
          </w:tcPr>
          <w:p w14:paraId="5B7900AE">
            <w:pPr>
              <w:jc w:val="center"/>
            </w:pPr>
          </w:p>
        </w:tc>
        <w:tc>
          <w:tcPr>
            <w:tcW w:w="852" w:type="dxa"/>
            <w:vMerge w:val="continue"/>
            <w:shd w:val="clear" w:color="auto" w:fill="auto"/>
            <w:vAlign w:val="center"/>
          </w:tcPr>
          <w:p w14:paraId="750EBC47">
            <w:pPr>
              <w:jc w:val="center"/>
            </w:pPr>
          </w:p>
        </w:tc>
        <w:tc>
          <w:tcPr>
            <w:tcW w:w="4620" w:type="dxa"/>
            <w:vMerge w:val="continue"/>
            <w:shd w:val="clear" w:color="auto" w:fill="auto"/>
            <w:vAlign w:val="center"/>
          </w:tcPr>
          <w:p w14:paraId="0CA4BC0F">
            <w:pPr>
              <w:jc w:val="center"/>
            </w:pPr>
          </w:p>
        </w:tc>
        <w:tc>
          <w:tcPr>
            <w:tcW w:w="876" w:type="dxa"/>
            <w:vMerge w:val="continue"/>
            <w:shd w:val="clear" w:color="auto" w:fill="auto"/>
            <w:vAlign w:val="center"/>
          </w:tcPr>
          <w:p w14:paraId="14F6298E">
            <w:pPr>
              <w:jc w:val="center"/>
            </w:pPr>
          </w:p>
        </w:tc>
        <w:tc>
          <w:tcPr>
            <w:tcW w:w="1056" w:type="dxa"/>
            <w:vMerge w:val="continue"/>
            <w:shd w:val="clear" w:color="auto" w:fill="auto"/>
            <w:vAlign w:val="center"/>
          </w:tcPr>
          <w:p w14:paraId="10ABC390">
            <w:pPr>
              <w:jc w:val="center"/>
            </w:pPr>
          </w:p>
        </w:tc>
        <w:tc>
          <w:tcPr>
            <w:tcW w:w="1356" w:type="dxa"/>
            <w:shd w:val="clear" w:color="auto" w:fill="auto"/>
            <w:vAlign w:val="center"/>
          </w:tcPr>
          <w:p w14:paraId="1E2B936B">
            <w:pPr>
              <w:jc w:val="center"/>
            </w:pPr>
            <w:r>
              <w:rPr>
                <w:rFonts w:ascii="Times New Roman" w:hAnsi="黑体" w:eastAsia="黑体" w:cs="Calibri"/>
                <w:kern w:val="0"/>
                <w:sz w:val="24"/>
              </w:rPr>
              <w:t>权力编码</w:t>
            </w:r>
          </w:p>
        </w:tc>
        <w:tc>
          <w:tcPr>
            <w:tcW w:w="1320" w:type="dxa"/>
            <w:shd w:val="clear" w:color="auto" w:fill="auto"/>
            <w:vAlign w:val="center"/>
          </w:tcPr>
          <w:p w14:paraId="7EDBAA84">
            <w:pPr>
              <w:jc w:val="center"/>
            </w:pPr>
            <w:r>
              <w:rPr>
                <w:rFonts w:ascii="Times New Roman" w:hAnsi="黑体" w:eastAsia="黑体" w:cs="Calibri"/>
                <w:kern w:val="0"/>
                <w:sz w:val="24"/>
              </w:rPr>
              <w:t>权力名称</w:t>
            </w:r>
          </w:p>
        </w:tc>
        <w:tc>
          <w:tcPr>
            <w:tcW w:w="879" w:type="dxa"/>
            <w:vMerge w:val="continue"/>
            <w:shd w:val="clear" w:color="auto" w:fill="auto"/>
            <w:vAlign w:val="center"/>
          </w:tcPr>
          <w:p w14:paraId="7C80F31D">
            <w:pPr>
              <w:jc w:val="center"/>
            </w:pPr>
          </w:p>
        </w:tc>
      </w:tr>
      <w:tr w14:paraId="5DA65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504" w:type="dxa"/>
            <w:shd w:val="clear" w:color="auto" w:fill="auto"/>
            <w:vAlign w:val="center"/>
          </w:tcPr>
          <w:p w14:paraId="37968650">
            <w:pPr>
              <w:widowControl/>
              <w:autoSpaceDE w:val="0"/>
              <w:autoSpaceDN w:val="0"/>
              <w:spacing w:line="240" w:lineRule="exact"/>
              <w:jc w:val="center"/>
              <w:rPr>
                <w:rFonts w:hint="default" w:ascii="Times New Roman" w:hAnsi="方正仿宋_GBK" w:eastAsia="方正仿宋_GBK"/>
                <w:kern w:val="0"/>
                <w:szCs w:val="21"/>
                <w:shd w:val="clear" w:color="auto" w:fill="FFFFFF"/>
                <w:lang w:val="en-US" w:eastAsia="zh-CN"/>
              </w:rPr>
            </w:pPr>
            <w:r>
              <w:rPr>
                <w:rFonts w:hint="eastAsia" w:ascii="Times New Roman" w:hAnsi="方正仿宋_GBK" w:eastAsia="方正仿宋_GBK"/>
                <w:kern w:val="0"/>
                <w:szCs w:val="21"/>
                <w:shd w:val="clear" w:color="auto" w:fill="FFFFFF"/>
                <w:lang w:val="en-US" w:eastAsia="zh-CN"/>
              </w:rPr>
              <w:t>2</w:t>
            </w:r>
          </w:p>
        </w:tc>
        <w:tc>
          <w:tcPr>
            <w:tcW w:w="908" w:type="dxa"/>
            <w:shd w:val="clear" w:color="auto" w:fill="auto"/>
            <w:vAlign w:val="center"/>
          </w:tcPr>
          <w:p w14:paraId="37DE19DC">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lang w:val="en-US" w:eastAsia="zh-CN"/>
              </w:rPr>
            </w:pPr>
            <w:r>
              <w:rPr>
                <w:rFonts w:hint="eastAsia" w:ascii="Times New Roman" w:hAnsi="方正仿宋_GBK" w:eastAsia="方正仿宋_GBK"/>
                <w:snapToGrid w:val="0"/>
                <w:kern w:val="0"/>
                <w:sz w:val="21"/>
                <w:szCs w:val="21"/>
                <w:shd w:val="clear" w:color="auto" w:fill="FFFFFF"/>
                <w:lang w:val="en-US" w:eastAsia="zh-CN"/>
              </w:rPr>
              <w:t>对地方金融组织的行政检查</w:t>
            </w:r>
          </w:p>
        </w:tc>
        <w:tc>
          <w:tcPr>
            <w:tcW w:w="912" w:type="dxa"/>
            <w:shd w:val="clear" w:color="auto" w:fill="auto"/>
            <w:vAlign w:val="center"/>
          </w:tcPr>
          <w:p w14:paraId="44F52EE0">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lang w:val="en-US" w:eastAsia="zh-CN"/>
              </w:rPr>
            </w:pPr>
            <w:r>
              <w:rPr>
                <w:rFonts w:hint="eastAsia" w:ascii="Times New Roman" w:hAnsi="方正仿宋_GBK" w:eastAsia="方正仿宋_GBK"/>
                <w:snapToGrid w:val="0"/>
                <w:kern w:val="0"/>
                <w:sz w:val="21"/>
                <w:szCs w:val="21"/>
                <w:shd w:val="clear" w:color="auto" w:fill="FFFFFF"/>
                <w:lang w:val="en-US" w:eastAsia="zh-CN"/>
              </w:rPr>
              <w:t>姑苏区发改局</w:t>
            </w:r>
          </w:p>
        </w:tc>
        <w:tc>
          <w:tcPr>
            <w:tcW w:w="912" w:type="dxa"/>
            <w:shd w:val="clear" w:color="auto" w:fill="auto"/>
            <w:vAlign w:val="center"/>
          </w:tcPr>
          <w:p w14:paraId="3FCB61B2">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lang w:val="en-US" w:eastAsia="zh-CN"/>
              </w:rPr>
            </w:pPr>
            <w:r>
              <w:rPr>
                <w:rFonts w:hint="eastAsia" w:ascii="Times New Roman" w:hAnsi="方正仿宋_GBK" w:eastAsia="方正仿宋_GBK"/>
                <w:snapToGrid w:val="0"/>
                <w:kern w:val="0"/>
                <w:sz w:val="21"/>
                <w:szCs w:val="21"/>
                <w:shd w:val="clear" w:color="auto" w:fill="FFFFFF"/>
                <w:lang w:val="en-US" w:eastAsia="zh-CN"/>
              </w:rPr>
              <w:t>金融工作处</w:t>
            </w:r>
          </w:p>
        </w:tc>
        <w:tc>
          <w:tcPr>
            <w:tcW w:w="852" w:type="dxa"/>
            <w:shd w:val="clear" w:color="auto" w:fill="auto"/>
            <w:vAlign w:val="center"/>
          </w:tcPr>
          <w:p w14:paraId="7D157662">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lang w:val="en-US" w:eastAsia="zh-CN"/>
              </w:rPr>
            </w:pPr>
            <w:r>
              <w:rPr>
                <w:rFonts w:hint="eastAsia" w:ascii="Times New Roman" w:hAnsi="方正仿宋_GBK" w:eastAsia="方正仿宋_GBK"/>
                <w:snapToGrid w:val="0"/>
                <w:kern w:val="0"/>
                <w:sz w:val="21"/>
                <w:szCs w:val="21"/>
                <w:shd w:val="clear" w:color="auto" w:fill="FFFFFF"/>
                <w:lang w:val="en-US" w:eastAsia="zh-CN"/>
              </w:rPr>
              <w:t>地方金融组织</w:t>
            </w:r>
          </w:p>
        </w:tc>
        <w:tc>
          <w:tcPr>
            <w:tcW w:w="4620" w:type="dxa"/>
            <w:shd w:val="clear" w:color="auto" w:fill="auto"/>
            <w:vAlign w:val="center"/>
          </w:tcPr>
          <w:p w14:paraId="55DDDCD2">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lang w:eastAsia="zh-CN"/>
              </w:rPr>
            </w:pPr>
            <w:r>
              <w:rPr>
                <w:rFonts w:hint="eastAsia" w:ascii="Times New Roman" w:hAnsi="方正仿宋_GBK" w:eastAsia="方正仿宋_GBK"/>
                <w:snapToGrid w:val="0"/>
                <w:kern w:val="0"/>
                <w:sz w:val="21"/>
                <w:szCs w:val="21"/>
                <w:shd w:val="clear" w:color="auto" w:fill="FFFFFF"/>
                <w:lang w:eastAsia="zh-CN"/>
              </w:rPr>
              <w:t>《</w:t>
            </w:r>
            <w:r>
              <w:rPr>
                <w:rFonts w:hint="eastAsia" w:ascii="Times New Roman" w:hAnsi="方正仿宋_GBK" w:eastAsia="方正仿宋_GBK"/>
                <w:snapToGrid w:val="0"/>
                <w:kern w:val="0"/>
                <w:sz w:val="21"/>
                <w:szCs w:val="21"/>
                <w:shd w:val="clear" w:color="auto" w:fill="FFFFFF"/>
                <w:lang w:val="en-US" w:eastAsia="zh-CN"/>
              </w:rPr>
              <w:t>江苏省地方金融条例</w:t>
            </w:r>
            <w:r>
              <w:rPr>
                <w:rFonts w:hint="eastAsia" w:ascii="Times New Roman" w:hAnsi="方正仿宋_GBK" w:eastAsia="方正仿宋_GBK"/>
                <w:snapToGrid w:val="0"/>
                <w:kern w:val="0"/>
                <w:sz w:val="21"/>
                <w:szCs w:val="21"/>
                <w:shd w:val="clear" w:color="auto" w:fill="FFFFFF"/>
                <w:lang w:eastAsia="zh-CN"/>
              </w:rPr>
              <w:t>》</w:t>
            </w:r>
          </w:p>
          <w:p w14:paraId="46CCCD59">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default" w:ascii="Times New Roman" w:hAnsi="方正仿宋_GBK" w:eastAsia="方正仿宋_GBK"/>
                <w:snapToGrid w:val="0"/>
                <w:kern w:val="0"/>
                <w:sz w:val="21"/>
                <w:szCs w:val="21"/>
                <w:shd w:val="clear" w:color="auto" w:fill="FFFFFF"/>
                <w:lang w:eastAsia="zh-CN"/>
              </w:rPr>
            </w:pPr>
            <w:r>
              <w:rPr>
                <w:rFonts w:hint="eastAsia" w:ascii="Times New Roman" w:hAnsi="方正仿宋_GBK" w:eastAsia="方正仿宋_GBK"/>
                <w:snapToGrid w:val="0"/>
                <w:kern w:val="0"/>
                <w:sz w:val="21"/>
                <w:szCs w:val="21"/>
                <w:shd w:val="clear" w:color="auto" w:fill="FFFFFF"/>
                <w:lang w:eastAsia="zh-CN"/>
              </w:rPr>
              <w:t>第二条</w:t>
            </w:r>
            <w:r>
              <w:rPr>
                <w:rFonts w:hint="eastAsia" w:ascii="Times New Roman" w:hAnsi="方正仿宋_GBK" w:eastAsia="方正仿宋_GBK"/>
                <w:snapToGrid w:val="0"/>
                <w:kern w:val="0"/>
                <w:sz w:val="21"/>
                <w:szCs w:val="21"/>
                <w:shd w:val="clear" w:color="auto" w:fill="FFFFFF"/>
                <w:lang w:val="en-US" w:eastAsia="zh-CN"/>
              </w:rPr>
              <w:t xml:space="preserve"> </w:t>
            </w:r>
            <w:r>
              <w:rPr>
                <w:rFonts w:hint="eastAsia" w:ascii="Times New Roman" w:hAnsi="方正仿宋_GBK" w:eastAsia="方正仿宋_GBK"/>
                <w:snapToGrid w:val="0"/>
                <w:kern w:val="0"/>
                <w:sz w:val="21"/>
                <w:szCs w:val="21"/>
                <w:shd w:val="clear" w:color="auto" w:fill="FFFFFF"/>
                <w:lang w:eastAsia="zh-CN"/>
              </w:rPr>
              <w:t>本条例所称地方金融组织，是指依法设立的小额贷款公司、融资担保公司、区域性股权市场、典当行、融资租赁公司、商业保理公司、地方资产管理公司以及法律、行政法规和国务院授权由地方人民政府实施监督管理的从事金融业务的其他组织。</w:t>
            </w:r>
          </w:p>
          <w:p w14:paraId="4981A165">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rPr>
            </w:pPr>
            <w:r>
              <w:rPr>
                <w:rFonts w:hint="eastAsia" w:ascii="Times New Roman" w:hAnsi="方正仿宋_GBK" w:eastAsia="方正仿宋_GBK"/>
                <w:snapToGrid w:val="0"/>
                <w:kern w:val="0"/>
                <w:sz w:val="21"/>
                <w:szCs w:val="21"/>
                <w:shd w:val="clear" w:color="auto" w:fill="FFFFFF"/>
                <w:lang w:eastAsia="zh-CN"/>
              </w:rPr>
              <w:t>第五条 省地方金融监督管理部门负责本省地方金融组织及其相关金融活动的监督管理，设区的市、县（市、区）地方金融监督管理部门在省地方金融监督管理部门的指导下做好相关具体工作。</w:t>
            </w:r>
          </w:p>
          <w:p w14:paraId="478CA40E">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lang w:val="en-US" w:eastAsia="zh-CN"/>
              </w:rPr>
            </w:pPr>
            <w:r>
              <w:rPr>
                <w:rFonts w:hint="eastAsia" w:ascii="Times New Roman" w:hAnsi="方正仿宋_GBK" w:eastAsia="方正仿宋_GBK"/>
                <w:snapToGrid w:val="0"/>
                <w:kern w:val="0"/>
                <w:sz w:val="21"/>
                <w:szCs w:val="21"/>
                <w:shd w:val="clear" w:color="auto" w:fill="FFFFFF"/>
                <w:lang w:eastAsia="zh-CN"/>
              </w:rPr>
              <w:t>第二十六条</w:t>
            </w:r>
            <w:r>
              <w:rPr>
                <w:rFonts w:hint="eastAsia" w:ascii="Times New Roman" w:hAnsi="方正仿宋_GBK" w:eastAsia="方正仿宋_GBK"/>
                <w:snapToGrid w:val="0"/>
                <w:kern w:val="0"/>
                <w:sz w:val="21"/>
                <w:szCs w:val="21"/>
                <w:shd w:val="clear" w:color="auto" w:fill="FFFFFF"/>
                <w:lang w:val="en-US" w:eastAsia="zh-CN"/>
              </w:rPr>
              <w:t xml:space="preserve"> </w:t>
            </w:r>
            <w:r>
              <w:rPr>
                <w:rFonts w:hint="eastAsia" w:ascii="Times New Roman" w:hAnsi="方正仿宋_GBK" w:eastAsia="方正仿宋_GBK"/>
                <w:snapToGrid w:val="0"/>
                <w:kern w:val="0"/>
                <w:sz w:val="21"/>
                <w:szCs w:val="21"/>
                <w:shd w:val="clear" w:color="auto" w:fill="FFFFFF"/>
                <w:lang w:eastAsia="zh-CN"/>
              </w:rPr>
              <w:t>地方金融监督管理部门实施现场检查时，可以采取下列措施：（一）进入地方金融组织经营场所；（二）询问工作人员，要求其对有关检查事项作出说明；（三）查阅、复制与检查事项有关的文件、资料；（四）检查业务信息系统；（五）对可能灭失或者以后难以取得的文件、资料、电子设备等证据材料，依法予以先行登记保存；（六）法律、法规和国家规定可以采取的其他现场检查措施。进行现场检查，应当经地方金融监督管理部门负责人批准，检查人员不得少于两人，并应当出示执法证件和检查通知书；必要时，可以按照相关程序聘请资信良好的会计师事务所、律师事务所、鉴定机构等第三方专业机构协助开展现场检查。</w:t>
            </w:r>
          </w:p>
        </w:tc>
        <w:tc>
          <w:tcPr>
            <w:tcW w:w="876" w:type="dxa"/>
            <w:shd w:val="clear" w:color="auto" w:fill="auto"/>
            <w:vAlign w:val="center"/>
          </w:tcPr>
          <w:p w14:paraId="1B2EF62C">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lang w:val="en-US" w:eastAsia="zh-CN"/>
              </w:rPr>
            </w:pPr>
            <w:r>
              <w:rPr>
                <w:rFonts w:hint="eastAsia" w:ascii="Times New Roman" w:hAnsi="方正仿宋_GBK" w:eastAsia="方正仿宋_GBK"/>
                <w:snapToGrid w:val="0"/>
                <w:kern w:val="0"/>
                <w:sz w:val="21"/>
                <w:szCs w:val="21"/>
                <w:shd w:val="clear" w:color="auto" w:fill="FFFFFF"/>
                <w:lang w:val="en-US" w:eastAsia="zh-CN"/>
              </w:rPr>
              <w:t>现场检查</w:t>
            </w:r>
          </w:p>
        </w:tc>
        <w:tc>
          <w:tcPr>
            <w:tcW w:w="1056" w:type="dxa"/>
            <w:shd w:val="clear" w:color="auto" w:fill="auto"/>
            <w:vAlign w:val="center"/>
          </w:tcPr>
          <w:p w14:paraId="3504D409">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lang w:val="en-US" w:eastAsia="zh-CN"/>
              </w:rPr>
            </w:pPr>
            <w:r>
              <w:rPr>
                <w:rFonts w:hint="eastAsia" w:ascii="Times New Roman" w:hAnsi="方正仿宋_GBK" w:eastAsia="方正仿宋_GBK"/>
                <w:snapToGrid w:val="0"/>
                <w:kern w:val="0"/>
                <w:sz w:val="21"/>
                <w:szCs w:val="21"/>
                <w:shd w:val="clear" w:color="auto" w:fill="FFFFFF"/>
                <w:lang w:val="en-US" w:eastAsia="zh-CN"/>
              </w:rPr>
              <w:t>根据市委金融办部署安排，配合市委金融办进行检查</w:t>
            </w:r>
          </w:p>
        </w:tc>
        <w:tc>
          <w:tcPr>
            <w:tcW w:w="1356" w:type="dxa"/>
            <w:shd w:val="clear" w:color="auto" w:fill="auto"/>
            <w:vAlign w:val="center"/>
          </w:tcPr>
          <w:p w14:paraId="76175041">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lang w:val="en-US" w:eastAsia="zh-CN"/>
              </w:rPr>
            </w:pPr>
          </w:p>
        </w:tc>
        <w:tc>
          <w:tcPr>
            <w:tcW w:w="1320" w:type="dxa"/>
            <w:shd w:val="clear" w:color="auto" w:fill="auto"/>
            <w:vAlign w:val="center"/>
          </w:tcPr>
          <w:p w14:paraId="6C34AC09">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lang w:val="en-US" w:eastAsia="zh-CN"/>
              </w:rPr>
            </w:pPr>
          </w:p>
        </w:tc>
        <w:tc>
          <w:tcPr>
            <w:tcW w:w="879" w:type="dxa"/>
            <w:shd w:val="clear" w:color="auto" w:fill="auto"/>
            <w:vAlign w:val="center"/>
          </w:tcPr>
          <w:p w14:paraId="07A96083">
            <w:pPr>
              <w:keepNext w:val="0"/>
              <w:keepLines w:val="0"/>
              <w:pageBreakBefore w:val="0"/>
              <w:widowControl w:val="0"/>
              <w:kinsoku/>
              <w:wordWrap/>
              <w:overflowPunct/>
              <w:topLinePunct w:val="0"/>
              <w:autoSpaceDE w:val="0"/>
              <w:autoSpaceDN w:val="0"/>
              <w:bidi w:val="0"/>
              <w:adjustRightInd/>
              <w:snapToGrid/>
              <w:spacing w:line="260" w:lineRule="exact"/>
              <w:textAlignment w:val="auto"/>
              <w:rPr>
                <w:rFonts w:hint="eastAsia" w:ascii="Times New Roman" w:hAnsi="方正仿宋_GBK" w:eastAsia="方正仿宋_GBK"/>
                <w:snapToGrid w:val="0"/>
                <w:kern w:val="0"/>
                <w:sz w:val="21"/>
                <w:szCs w:val="21"/>
                <w:shd w:val="clear" w:color="auto" w:fill="FFFFFF"/>
                <w:lang w:val="en-US" w:eastAsia="zh-CN"/>
              </w:rPr>
            </w:pPr>
            <w:r>
              <w:rPr>
                <w:rFonts w:hint="eastAsia" w:ascii="Times New Roman" w:hAnsi="方正仿宋_GBK" w:eastAsia="方正仿宋_GBK"/>
                <w:snapToGrid w:val="0"/>
                <w:kern w:val="0"/>
                <w:sz w:val="21"/>
                <w:szCs w:val="21"/>
                <w:shd w:val="clear" w:color="auto" w:fill="FFFFFF"/>
                <w:lang w:val="en-US" w:eastAsia="zh-CN"/>
              </w:rPr>
              <w:t>市委金融办无对应权力事项编码名称</w:t>
            </w:r>
          </w:p>
        </w:tc>
      </w:tr>
    </w:tbl>
    <w:p w14:paraId="10EB587F">
      <w:pPr>
        <w:overflowPunct w:val="0"/>
        <w:adjustRightInd w:val="0"/>
        <w:snapToGrid w:val="0"/>
        <w:spacing w:line="580" w:lineRule="exact"/>
        <w:rPr>
          <w:rFonts w:hint="eastAsia" w:ascii="Calibri" w:hAnsi="Calibri" w:eastAsia="仿宋_GB2312" w:cs="Calibri"/>
          <w:sz w:val="32"/>
          <w:szCs w:val="32"/>
          <w:lang w:val="en-US" w:eastAsia="zh-CN"/>
        </w:rPr>
      </w:pPr>
    </w:p>
    <w:sectPr>
      <w:headerReference r:id="rId4" w:type="first"/>
      <w:headerReference r:id="rId3" w:type="default"/>
      <w:footerReference r:id="rId5" w:type="default"/>
      <w:pgSz w:w="16838" w:h="11906" w:orient="landscape"/>
      <w:pgMar w:top="1531" w:right="2041" w:bottom="1531" w:left="192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鼎简大宋">
    <w:altName w:val="宋体"/>
    <w:panose1 w:val="00000000000000000000"/>
    <w:charset w:val="86"/>
    <w:family w:val="modern"/>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国标仿宋-GB/T 2312">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宋体" w:hAnsi="宋体" w:eastAsia="宋体" w:cs="Calibri"/>
        <w:kern w:val="2"/>
        <w:sz w:val="30"/>
        <w:szCs w:val="30"/>
        <w:lang w:val="en-US" w:eastAsia="zh-CN" w:bidi="ar-SA"/>
      </w:rPr>
      <w:id w:val="7918353"/>
      <w:docPartObj>
        <w:docPartGallery w:val="autotext"/>
      </w:docPartObj>
    </w:sdtPr>
    <w:sdtEndPr>
      <w:rPr>
        <w:rFonts w:ascii="宋体" w:hAnsi="宋体" w:eastAsia="宋体" w:cs="Calibri"/>
        <w:kern w:val="2"/>
        <w:sz w:val="30"/>
        <w:szCs w:val="30"/>
        <w:lang w:val="en-US" w:eastAsia="zh-CN" w:bidi="ar-SA"/>
      </w:rPr>
    </w:sdtEndPr>
    <w:sdtContent>
      <w:p w14:paraId="68D4CA05">
        <w:pPr>
          <w:widowControl w:val="0"/>
          <w:snapToGrid w:val="0"/>
          <w:jc w:val="center"/>
          <w:rPr>
            <w:rFonts w:ascii="宋体" w:hAnsi="宋体" w:eastAsia="宋体" w:cs="Calibri"/>
            <w:kern w:val="2"/>
            <w:sz w:val="30"/>
            <w:szCs w:val="30"/>
            <w:lang w:val="en-US" w:eastAsia="zh-CN" w:bidi="ar-SA"/>
          </w:rPr>
        </w:pPr>
        <w:r>
          <w:rPr>
            <w:rFonts w:ascii="宋体" w:hAnsi="宋体" w:eastAsia="宋体" w:cs="Calibri"/>
            <w:kern w:val="2"/>
            <w:sz w:val="30"/>
            <w:szCs w:val="30"/>
            <w:lang w:val="en-US" w:eastAsia="zh-CN" w:bidi="ar-SA"/>
          </w:rPr>
          <w:fldChar w:fldCharType="begin"/>
        </w:r>
        <w:r>
          <w:rPr>
            <w:rFonts w:ascii="宋体" w:hAnsi="宋体" w:eastAsia="宋体" w:cs="Calibri"/>
            <w:kern w:val="2"/>
            <w:sz w:val="30"/>
            <w:szCs w:val="30"/>
            <w:lang w:val="en-US" w:eastAsia="zh-CN" w:bidi="ar-SA"/>
          </w:rPr>
          <w:instrText xml:space="preserve"> PAGE   \* MERGEFORMAT </w:instrText>
        </w:r>
        <w:r>
          <w:rPr>
            <w:rFonts w:ascii="宋体" w:hAnsi="宋体" w:eastAsia="宋体" w:cs="Calibri"/>
            <w:kern w:val="2"/>
            <w:sz w:val="30"/>
            <w:szCs w:val="30"/>
            <w:lang w:val="en-US" w:eastAsia="zh-CN" w:bidi="ar-SA"/>
          </w:rPr>
          <w:fldChar w:fldCharType="separate"/>
        </w:r>
        <w:r>
          <w:rPr>
            <w:rFonts w:ascii="宋体" w:hAnsi="宋体" w:eastAsia="宋体" w:cs="Calibri"/>
            <w:kern w:val="2"/>
            <w:sz w:val="30"/>
            <w:szCs w:val="30"/>
            <w:lang w:val="zh-CN" w:eastAsia="zh-CN" w:bidi="ar-SA"/>
          </w:rPr>
          <w:t>-</w:t>
        </w:r>
        <w:r>
          <w:rPr>
            <w:rFonts w:ascii="宋体" w:hAnsi="宋体" w:eastAsia="宋体" w:cs="Calibri"/>
            <w:kern w:val="2"/>
            <w:sz w:val="30"/>
            <w:szCs w:val="30"/>
            <w:lang w:val="en-US" w:eastAsia="zh-CN" w:bidi="ar-SA"/>
          </w:rPr>
          <w:t xml:space="preserve"> 5 -</w:t>
        </w:r>
        <w:r>
          <w:rPr>
            <w:rFonts w:ascii="宋体" w:hAnsi="宋体" w:eastAsia="宋体" w:cs="Calibri"/>
            <w:kern w:val="2"/>
            <w:sz w:val="30"/>
            <w:szCs w:val="30"/>
            <w:lang w:val="en-US" w:eastAsia="zh-CN" w:bidi="ar-SA"/>
          </w:rPr>
          <w:fldChar w:fldCharType="end"/>
        </w:r>
      </w:p>
    </w:sdtContent>
  </w:sdt>
  <w:p w14:paraId="48B47C9D">
    <w:pPr>
      <w:widowControl w:val="0"/>
      <w:tabs>
        <w:tab w:val="center" w:pos="4153"/>
        <w:tab w:val="right" w:pos="8306"/>
      </w:tabs>
      <w:snapToGrid w:val="0"/>
      <w:jc w:val="left"/>
      <w:rPr>
        <w:rFonts w:ascii="Calibri" w:hAnsi="Calibri" w:eastAsia="宋体" w:cs="Calibri"/>
        <w:kern w:val="2"/>
        <w:sz w:val="18"/>
        <w:szCs w:val="24"/>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8A15E">
    <w:r>
      <w:pict>
        <v:shape id="_x0000_s2057" o:spid="_x0000_s2057" o:spt="136" type="#_x0000_t136" style="position:absolute;left:0pt;height:30pt;width:150pt;mso-position-horizontal:right;mso-position-horizontal-relative:page;mso-position-vertical:bottom;mso-position-vertical-relative:page;rotation:-3276800f;z-index:251659264;mso-width-relative:page;mso-height-relative:page;" fillcolor="#808080" filled="t" stroked="t" coordsize="21600,21600">
          <v:path/>
          <v:fill on="t" opacity="6554f" focussize="0,0"/>
          <v:stroke color="#808080" opacity="13107f"/>
          <v:imagedata o:title=""/>
          <o:lock v:ext="edit"/>
          <v:textpath on="t" fitshape="t" fitpath="t" trim="f" xscale="f" string="chenyahe 2026-03-27" style="font-family:宋体;font-size:30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3E3F7">
    <w:r>
      <w:pict>
        <v:shape id="_x0000_s2058" o:spid="_x0000_s2058" o:spt="136" type="#_x0000_t136" style="position:absolute;left:0pt;height:30pt;width:150pt;mso-position-horizontal:left;mso-position-horizontal-relative:page;mso-position-vertical:top;mso-position-vertical-relative:page;rotation:-3276800f;z-index:251660288;mso-width-relative:page;mso-height-relative:page;" fillcolor="#808080" filled="t" stroked="t" coordsize="21600,21600">
          <v:path/>
          <v:fill on="t" opacity="6554f" focussize="0,0"/>
          <v:stroke color="#808080" opacity="13107f"/>
          <v:imagedata o:title=""/>
          <o:lock v:ext="edit"/>
          <v:textpath on="t" fitshape="t" fitpath="t" trim="f" xscale="f" string="chenyahe 2026-03-27" style="font-family:宋体;font-size:30pt;v-text-align:center;"/>
        </v:shape>
      </w:pict>
    </w:r>
  </w:p>
  <w:p w14:paraId="415038BF">
    <w:r>
      <w:pict>
        <v:shape id="_x0000_s2059" o:spid="_x0000_s2059" o:spt="136" type="#_x0000_t136" style="position:absolute;left:0pt;height:30pt;width:150pt;mso-position-horizontal:center;mso-position-horizontal-relative:page;mso-position-vertical:center;mso-position-vertical-relative:page;rotation:-3276800f;z-index:251661312;mso-width-relative:page;mso-height-relative:page;" fillcolor="#808080" filled="t" stroked="t" coordsize="21600,21600">
          <v:path/>
          <v:fill on="t" opacity="6554f" focussize="0,0"/>
          <v:stroke color="#808080" opacity="13107f"/>
          <v:imagedata o:title=""/>
          <o:lock v:ext="edit"/>
          <v:textpath on="t" fitshape="t" fitpath="t" trim="f" xscale="f" string="chenyahe 2026-03-27" style="font-family:宋体;font-size:30pt;v-text-align:center;"/>
        </v:shape>
      </w:pict>
    </w:r>
  </w:p>
  <w:p w14:paraId="1EBAB68B">
    <w:r>
      <w:pict>
        <v:shape id="_x0000_s2060" o:spid="_x0000_s2060" o:spt="136" type="#_x0000_t136" style="position:absolute;left:0pt;height:30pt;width:150pt;mso-position-horizontal:right;mso-position-horizontal-relative:page;mso-position-vertical:bottom;mso-position-vertical-relative:page;rotation:-3276800f;z-index:251662336;mso-width-relative:page;mso-height-relative:page;" fillcolor="#808080" filled="t" stroked="t" coordsize="21600,21600">
          <v:path/>
          <v:fill on="t" opacity="6554f" focussize="0,0"/>
          <v:stroke color="#808080" opacity="13107f"/>
          <v:imagedata o:title=""/>
          <o:lock v:ext="edit"/>
          <v:textpath on="t" fitshape="t" fitpath="t" trim="f" xscale="f" string="chenyahe 2026-03-27" style="font-family:宋体;font-size:30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A4OTUzMjhlNmNmMjZjMTQxMWZkNjY1ZjM3MWMyMDEifQ=="/>
  </w:docVars>
  <w:rsids>
    <w:rsidRoot w:val="5EB75F95"/>
    <w:rsid w:val="042E0790"/>
    <w:rsid w:val="044C0C16"/>
    <w:rsid w:val="078E139D"/>
    <w:rsid w:val="10861EC5"/>
    <w:rsid w:val="131C5736"/>
    <w:rsid w:val="15A67671"/>
    <w:rsid w:val="15FC72A2"/>
    <w:rsid w:val="2511512B"/>
    <w:rsid w:val="25623654"/>
    <w:rsid w:val="256A67A4"/>
    <w:rsid w:val="365E4655"/>
    <w:rsid w:val="391A62CF"/>
    <w:rsid w:val="53241E32"/>
    <w:rsid w:val="5EB75F95"/>
    <w:rsid w:val="62D46DC6"/>
    <w:rsid w:val="73344BAF"/>
    <w:rsid w:val="744C72C0"/>
    <w:rsid w:val="79CF5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widowControl w:val="0"/>
      <w:spacing w:after="120"/>
      <w:jc w:val="both"/>
    </w:pPr>
    <w:rPr>
      <w:rFonts w:asciiTheme="minorHAnsi" w:hAnsiTheme="minorHAnsi" w:eastAsiaTheme="minorEastAsia" w:cstheme="minorBidi"/>
      <w:kern w:val="2"/>
      <w:sz w:val="21"/>
      <w:szCs w:val="24"/>
      <w:lang w:val="en-US" w:eastAsia="zh-CN" w:bidi="ar-SA"/>
    </w:rPr>
  </w:style>
  <w:style w:type="table" w:styleId="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文头"/>
    <w:qFormat/>
    <w:uiPriority w:val="0"/>
    <w:pPr>
      <w:widowControl w:val="0"/>
      <w:tabs>
        <w:tab w:val="left" w:pos="6663"/>
      </w:tabs>
      <w:spacing w:before="40" w:after="800" w:line="1640" w:lineRule="atLeast"/>
      <w:ind w:left="511" w:right="227" w:hanging="284"/>
      <w:jc w:val="distribute"/>
    </w:pPr>
    <w:rPr>
      <w:rFonts w:ascii="汉鼎简大宋" w:hAnsi="Times New Roman" w:eastAsia="汉鼎简大宋" w:cstheme="minorBidi"/>
      <w:b/>
      <w:color w:val="FF0000"/>
      <w:w w:val="50"/>
      <w:kern w:val="2"/>
      <w:sz w:val="136"/>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7"/>
    <customShpInfo spid="_x0000_s2058"/>
    <customShpInfo spid="_x0000_s2059"/>
    <customShpInfo spid="_x0000_s206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1406</Words>
  <Characters>1410</Characters>
  <Lines>0</Lines>
  <Paragraphs>0</Paragraphs>
  <TotalTime>13</TotalTime>
  <ScaleCrop>false</ScaleCrop>
  <LinksUpToDate>false</LinksUpToDate>
  <CharactersWithSpaces>1410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2026-03-16T03:55:00Z</dcterms:created>
  <dc:creator>璟</dc:creator>
  <cp:lastModifiedBy>ttbbzdzyqb</cp:lastModifiedBy>
  <cp:lastPrinted>2026-04-07T05:46:00Z</cp:lastPrinted>
  <dcterms:modified xsi:type="dcterms:W3CDTF">2026-04-07T09:10:50Z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EA461B07D9424BC48D3CAD7852203AC2_13</vt:lpwstr>
  </property>
  <property fmtid="{D5CDD505-2E9C-101B-9397-08002B2CF9AE}" pid="3" name="KSOProductBuildVer">
    <vt:lpwstr>2052-12.1.0.25225</vt:lpwstr>
  </property>
  <property fmtid="{D5CDD505-2E9C-101B-9397-08002B2CF9AE}" pid="4" name="KSOTemplateDocerSaveRecord">
    <vt:lpwstr>eyJoZGlkIjoiYjRmODllOWEzMWNhYmViNGZkMjAzZjcxMjU0NGMyZmYiLCJ1c2VySWQiOiI2NjYwMzQyNjUifQ==</vt:lpwstr>
  </property>
</Properties>
</file>