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8"/>
        <w:tblW w:w="0" w:type="auto"/>
        <w:tblInd w:w="0" w:type="dxa"/>
        <w:tblLayout w:type="fixed"/>
        <w:tblCellMar>
          <w:top w:w="0" w:type="dxa"/>
          <w:left w:w="108" w:type="dxa"/>
          <w:bottom w:w="0" w:type="dxa"/>
          <w:right w:w="108" w:type="dxa"/>
        </w:tblCellMar>
      </w:tblPr>
      <w:tblGrid>
        <w:gridCol w:w="6062"/>
        <w:gridCol w:w="2692"/>
      </w:tblGrid>
      <w:tr w14:paraId="4EEFBB49">
        <w:trPr>
          <w:trHeight w:val="709" w:hRule="atLeast"/>
        </w:trPr>
        <w:tc>
          <w:tcPr>
            <w:tcW w:w="6062" w:type="dxa"/>
            <w:noWrap w:val="0"/>
            <w:vAlign w:val="center"/>
          </w:tcPr>
          <w:p w14:paraId="680CF811">
            <w:pPr>
              <w:spacing w:line="500" w:lineRule="exact"/>
              <w:jc w:val="center"/>
              <w:rPr>
                <w:rFonts w:ascii="方正粗宋简体" w:eastAsia="方正粗宋简体"/>
                <w:color w:val="FF0000"/>
                <w:sz w:val="44"/>
                <w:szCs w:val="44"/>
              </w:rPr>
            </w:pPr>
            <w:r>
              <w:rPr>
                <w:rFonts w:hint="eastAsia" w:ascii="方正粗宋简体" w:eastAsia="方正粗宋简体"/>
                <w:color w:val="FF0000"/>
                <w:spacing w:val="1"/>
                <w:kern w:val="0"/>
                <w:sz w:val="44"/>
                <w:szCs w:val="44"/>
                <w:fitText w:val="5760" w:id="922312591"/>
              </w:rPr>
              <w:t>苏州国家历史文化名城保护</w:t>
            </w:r>
            <w:r>
              <w:rPr>
                <w:rFonts w:hint="eastAsia" w:ascii="方正粗宋简体" w:eastAsia="方正粗宋简体"/>
                <w:color w:val="FF0000"/>
                <w:spacing w:val="8"/>
                <w:kern w:val="0"/>
                <w:sz w:val="44"/>
                <w:szCs w:val="44"/>
                <w:fitText w:val="5760" w:id="922312591"/>
              </w:rPr>
              <w:t>区</w:t>
            </w:r>
          </w:p>
        </w:tc>
        <w:tc>
          <w:tcPr>
            <w:tcW w:w="2692" w:type="dxa"/>
            <w:vMerge w:val="restart"/>
            <w:noWrap w:val="0"/>
            <w:vAlign w:val="center"/>
          </w:tcPr>
          <w:p w14:paraId="0E40D382">
            <w:pPr>
              <w:jc w:val="center"/>
              <w:rPr>
                <w:rFonts w:ascii="方正粗宋简体" w:eastAsia="方正粗宋简体"/>
                <w:color w:val="FF0000"/>
                <w:sz w:val="44"/>
                <w:szCs w:val="44"/>
              </w:rPr>
            </w:pPr>
            <w:r>
              <w:rPr>
                <w:rFonts w:hint="eastAsia" w:ascii="方正粗宋简体" w:eastAsia="方正粗宋简体"/>
                <w:color w:val="FF0000"/>
                <w:spacing w:val="300"/>
                <w:w w:val="100"/>
                <w:kern w:val="0"/>
                <w:sz w:val="44"/>
                <w:szCs w:val="44"/>
                <w:fitText w:val="2520" w:id="982409197"/>
                <w:lang w:eastAsia="zh-CN"/>
              </w:rPr>
              <w:t>统计</w:t>
            </w:r>
            <w:r>
              <w:rPr>
                <w:rFonts w:hint="eastAsia" w:ascii="方正粗宋简体" w:eastAsia="方正粗宋简体"/>
                <w:color w:val="FF0000"/>
                <w:spacing w:val="0"/>
                <w:w w:val="100"/>
                <w:kern w:val="0"/>
                <w:sz w:val="44"/>
                <w:szCs w:val="44"/>
                <w:fitText w:val="2520" w:id="982409197"/>
              </w:rPr>
              <w:t>局</w:t>
            </w:r>
          </w:p>
        </w:tc>
      </w:tr>
      <w:tr w14:paraId="0B02BCF3">
        <w:tblPrEx>
          <w:tblCellMar>
            <w:top w:w="0" w:type="dxa"/>
            <w:left w:w="108" w:type="dxa"/>
            <w:bottom w:w="0" w:type="dxa"/>
            <w:right w:w="108" w:type="dxa"/>
          </w:tblCellMar>
        </w:tblPrEx>
        <w:trPr>
          <w:trHeight w:val="624" w:hRule="atLeast"/>
        </w:trPr>
        <w:tc>
          <w:tcPr>
            <w:tcW w:w="6062" w:type="dxa"/>
            <w:noWrap w:val="0"/>
            <w:vAlign w:val="center"/>
          </w:tcPr>
          <w:p w14:paraId="48976CF5">
            <w:pPr>
              <w:spacing w:line="500" w:lineRule="exact"/>
              <w:jc w:val="center"/>
              <w:rPr>
                <w:rFonts w:ascii="方正粗宋简体" w:eastAsia="方正粗宋简体"/>
                <w:color w:val="FF0000"/>
                <w:sz w:val="44"/>
                <w:szCs w:val="44"/>
              </w:rPr>
            </w:pPr>
            <w:r>
              <w:rPr>
                <w:rFonts w:hint="eastAsia" w:ascii="方正粗宋简体" w:eastAsia="方正粗宋简体"/>
                <w:color w:val="FF0000"/>
                <w:spacing w:val="312"/>
                <w:kern w:val="0"/>
                <w:sz w:val="44"/>
                <w:szCs w:val="44"/>
                <w:fitText w:val="5760" w:id="1868723170"/>
              </w:rPr>
              <w:t>苏州市姑苏</w:t>
            </w:r>
            <w:r>
              <w:rPr>
                <w:rFonts w:hint="eastAsia" w:ascii="方正粗宋简体" w:eastAsia="方正粗宋简体"/>
                <w:color w:val="FF0000"/>
                <w:spacing w:val="0"/>
                <w:kern w:val="0"/>
                <w:sz w:val="44"/>
                <w:szCs w:val="44"/>
                <w:fitText w:val="5760" w:id="1868723170"/>
              </w:rPr>
              <w:t>区</w:t>
            </w:r>
          </w:p>
        </w:tc>
        <w:tc>
          <w:tcPr>
            <w:tcW w:w="2692" w:type="dxa"/>
            <w:vMerge w:val="continue"/>
            <w:noWrap w:val="0"/>
            <w:vAlign w:val="center"/>
          </w:tcPr>
          <w:p w14:paraId="2FE904A0">
            <w:pPr>
              <w:jc w:val="center"/>
              <w:rPr>
                <w:rFonts w:ascii="方正粗宋简体" w:eastAsia="方正粗宋简体"/>
                <w:sz w:val="36"/>
                <w:szCs w:val="36"/>
              </w:rPr>
            </w:pPr>
          </w:p>
        </w:tc>
      </w:tr>
    </w:tbl>
    <w:p w14:paraId="4A991EDE">
      <w:pPr>
        <w:jc w:val="center"/>
        <w:rPr>
          <w:rFonts w:ascii="方正粗宋简体" w:eastAsia="方正粗宋简体"/>
          <w:sz w:val="32"/>
          <w:szCs w:val="32"/>
        </w:rPr>
      </w:pPr>
      <w:r>
        <w:rPr>
          <w:rFonts w:ascii="方正粗宋简体" w:eastAsia="方正粗宋简体"/>
          <w:sz w:val="32"/>
          <w:szCs w:val="32"/>
        </w:rPr>
        <mc:AlternateContent>
          <mc:Choice Requires="wps">
            <w:drawing>
              <wp:anchor distT="0" distB="0" distL="114300" distR="114300" simplePos="0" relativeHeight="251660288" behindDoc="0" locked="0" layoutInCell="1" allowOverlap="1">
                <wp:simplePos x="0" y="0"/>
                <wp:positionH relativeFrom="column">
                  <wp:posOffset>-133350</wp:posOffset>
                </wp:positionH>
                <wp:positionV relativeFrom="paragraph">
                  <wp:posOffset>142240</wp:posOffset>
                </wp:positionV>
                <wp:extent cx="5600700" cy="19050"/>
                <wp:effectExtent l="0" t="15875" r="0" b="22225"/>
                <wp:wrapNone/>
                <wp:docPr id="1" name="直接箭头连接符 1"/>
                <wp:cNvGraphicFramePr/>
                <a:graphic xmlns:a="http://schemas.openxmlformats.org/drawingml/2006/main">
                  <a:graphicData uri="http://schemas.microsoft.com/office/word/2010/wordprocessingShape">
                    <wps:wsp>
                      <wps:cNvCnPr/>
                      <wps:spPr>
                        <a:xfrm flipV="1">
                          <a:off x="0" y="0"/>
                          <a:ext cx="5600700" cy="19050"/>
                        </a:xfrm>
                        <a:prstGeom prst="straightConnector1">
                          <a:avLst/>
                        </a:prstGeom>
                        <a:ln w="31750" cap="flat" cmpd="sng">
                          <a:solidFill>
                            <a:srgbClr val="FF0000"/>
                          </a:solidFill>
                          <a:prstDash val="solid"/>
                          <a:headEnd type="none" w="med" len="med"/>
                          <a:tailEnd type="none" w="med" len="med"/>
                        </a:ln>
                        <a:effectLst/>
                      </wps:spPr>
                      <wps:bodyPr/>
                    </wps:wsp>
                  </a:graphicData>
                </a:graphic>
              </wp:anchor>
            </w:drawing>
          </mc:Choice>
          <mc:Fallback>
            <w:pict>
              <v:shape id="_x0000_s1026" o:spid="_x0000_s1026" o:spt="32" type="#_x0000_t32" style="position:absolute;left:0pt;flip:y;margin-left:-10.5pt;margin-top:11.2pt;height:1.5pt;width:441pt;z-index:251660288;mso-width-relative:page;mso-height-relative:page;" filled="f" stroked="t" coordsize="21600,21600" o:gfxdata="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tJDVutUAAAAJAQAADwAAAAAAAAABACAA&#10;AAAiAAAAZHJzL2Rvd25yZXYueG1sUEsBAhQAFAAAAAgAh07iQMlgEzgQAgAACQQAAA4AAAAAAAAA&#10;AQAgAAAAJAEAAGRycy9lMm9Eb2MueG1sUEsFBgAAAAAGAAYAWQEAAKYFAAAAAA==&#10;">
                <v:fill on="f" focussize="0,0"/>
                <v:stroke weight="2.5pt" color="#FF0000" joinstyle="round"/>
                <v:imagedata o:title=""/>
                <o:lock v:ext="edit" aspectratio="f"/>
              </v:shape>
            </w:pict>
          </mc:Fallback>
        </mc:AlternateContent>
      </w:r>
    </w:p>
    <w:p w14:paraId="2FD95E6C">
      <w:pPr>
        <w:keepNext w:val="0"/>
        <w:keepLines w:val="0"/>
        <w:pageBreakBefore w:val="0"/>
        <w:widowControl/>
        <w:kinsoku/>
        <w:wordWrap/>
        <w:overflowPunct/>
        <w:topLinePunct w:val="0"/>
        <w:autoSpaceDE/>
        <w:autoSpaceDN/>
        <w:bidi w:val="0"/>
        <w:adjustRightInd w:val="0"/>
        <w:snapToGrid w:val="0"/>
        <w:spacing w:after="0" w:line="560" w:lineRule="exact"/>
        <w:jc w:val="center"/>
        <w:textAlignment w:val="auto"/>
        <w:rPr>
          <w:rFonts w:hint="eastAsia" w:ascii="Times New Roman" w:hAnsi="Times New Roman" w:eastAsia="方正小标宋简体" w:cs="Times New Roman"/>
          <w:sz w:val="44"/>
          <w:szCs w:val="44"/>
        </w:rPr>
      </w:pPr>
      <w:r>
        <w:rPr>
          <w:rFonts w:hint="eastAsia" w:ascii="Times New Roman" w:hAnsi="Times New Roman" w:eastAsia="方正小标宋简体" w:cs="Times New Roman"/>
          <w:sz w:val="44"/>
          <w:szCs w:val="44"/>
        </w:rPr>
        <w:t>202</w:t>
      </w:r>
      <w:r>
        <w:rPr>
          <w:rFonts w:hint="eastAsia" w:ascii="Times New Roman" w:hAnsi="Times New Roman" w:eastAsia="方正小标宋简体" w:cs="Times New Roman"/>
          <w:sz w:val="44"/>
          <w:szCs w:val="44"/>
          <w:lang w:val="en-US" w:eastAsia="zh-CN"/>
        </w:rPr>
        <w:t>6</w:t>
      </w:r>
      <w:r>
        <w:rPr>
          <w:rFonts w:hint="eastAsia" w:ascii="Times New Roman" w:hAnsi="Times New Roman" w:eastAsia="方正小标宋简体" w:cs="Times New Roman"/>
          <w:sz w:val="44"/>
          <w:szCs w:val="44"/>
        </w:rPr>
        <w:t>年</w:t>
      </w:r>
      <w:r>
        <w:rPr>
          <w:rFonts w:hint="eastAsia" w:ascii="Times New Roman" w:hAnsi="Times New Roman" w:eastAsia="方正小标宋简体" w:cs="Times New Roman"/>
          <w:sz w:val="44"/>
          <w:szCs w:val="44"/>
          <w:lang w:eastAsia="zh-CN"/>
        </w:rPr>
        <w:t>姑苏区</w:t>
      </w:r>
      <w:r>
        <w:rPr>
          <w:rFonts w:hint="eastAsia" w:ascii="Times New Roman" w:hAnsi="Times New Roman" w:eastAsia="方正小标宋简体" w:cs="Times New Roman"/>
          <w:sz w:val="44"/>
          <w:szCs w:val="44"/>
        </w:rPr>
        <w:t>统计执法检查工作计划</w:t>
      </w:r>
    </w:p>
    <w:p w14:paraId="72A195FA">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eastAsia="仿宋_GB2312"/>
          <w:sz w:val="32"/>
          <w:szCs w:val="32"/>
        </w:rPr>
      </w:pPr>
    </w:p>
    <w:p w14:paraId="74AFCCFC">
      <w:pPr>
        <w:keepNext w:val="0"/>
        <w:keepLines w:val="0"/>
        <w:pageBreakBefore w:val="0"/>
        <w:widowControl w:val="0"/>
        <w:kinsoku/>
        <w:wordWrap/>
        <w:overflowPunct/>
        <w:topLinePunct w:val="0"/>
        <w:autoSpaceDE/>
        <w:autoSpaceDN/>
        <w:bidi w:val="0"/>
        <w:adjustRightInd/>
        <w:snapToGrid w:val="0"/>
        <w:spacing w:after="0" w:line="560" w:lineRule="exact"/>
        <w:ind w:firstLine="640" w:firstLineChars="200"/>
        <w:jc w:val="both"/>
        <w:textAlignment w:val="auto"/>
        <w:rPr>
          <w:rFonts w:hint="eastAsia" w:ascii="仿宋_GB2312" w:eastAsia="仿宋_GB2312"/>
          <w:sz w:val="32"/>
          <w:szCs w:val="32"/>
        </w:rPr>
      </w:pPr>
      <w:r>
        <w:rPr>
          <w:rFonts w:hint="eastAsia" w:ascii="仿宋_GB2312" w:eastAsia="仿宋_GB2312"/>
          <w:sz w:val="32"/>
          <w:szCs w:val="32"/>
        </w:rPr>
        <w:t>为深入贯彻落实中央和省、市</w:t>
      </w:r>
      <w:r>
        <w:rPr>
          <w:rFonts w:hint="eastAsia" w:ascii="仿宋_GB2312" w:eastAsia="仿宋_GB2312"/>
          <w:sz w:val="32"/>
          <w:szCs w:val="32"/>
          <w:lang w:eastAsia="zh-CN"/>
        </w:rPr>
        <w:t>、区</w:t>
      </w:r>
      <w:r>
        <w:rPr>
          <w:rFonts w:hint="eastAsia" w:ascii="仿宋_GB2312" w:eastAsia="仿宋_GB2312"/>
          <w:sz w:val="32"/>
          <w:szCs w:val="32"/>
        </w:rPr>
        <w:t>关于防治统计造假的决策部署，进一步夯实统计机构主体责任，持续保持对统计违纪违法行为的高压态势，依据</w:t>
      </w:r>
      <w:r>
        <w:rPr>
          <w:rFonts w:hint="eastAsia" w:ascii="仿宋_GB2312" w:eastAsia="仿宋_GB2312"/>
          <w:sz w:val="32"/>
          <w:szCs w:val="32"/>
          <w:lang w:eastAsia="zh-CN"/>
        </w:rPr>
        <w:t>上级</w:t>
      </w:r>
      <w:r>
        <w:rPr>
          <w:rFonts w:hint="eastAsia" w:ascii="仿宋_GB2312" w:eastAsia="仿宋_GB2312"/>
          <w:sz w:val="32"/>
          <w:szCs w:val="32"/>
        </w:rPr>
        <w:t>统计执法检查</w:t>
      </w:r>
      <w:r>
        <w:rPr>
          <w:rFonts w:hint="eastAsia" w:ascii="仿宋_GB2312" w:eastAsia="仿宋_GB2312"/>
          <w:sz w:val="32"/>
          <w:szCs w:val="32"/>
          <w:lang w:val="en-US" w:eastAsia="zh-CN"/>
        </w:rPr>
        <w:t>工作精神，</w:t>
      </w:r>
      <w:bookmarkStart w:id="0" w:name="_GoBack"/>
      <w:bookmarkEnd w:id="0"/>
      <w:r>
        <w:rPr>
          <w:rFonts w:hint="eastAsia" w:ascii="仿宋_GB2312" w:eastAsia="仿宋_GB2312"/>
          <w:sz w:val="32"/>
          <w:szCs w:val="32"/>
        </w:rPr>
        <w:t>结合我</w:t>
      </w:r>
      <w:r>
        <w:rPr>
          <w:rFonts w:hint="eastAsia" w:ascii="仿宋_GB2312" w:eastAsia="仿宋_GB2312"/>
          <w:sz w:val="32"/>
          <w:szCs w:val="32"/>
          <w:lang w:eastAsia="zh-CN"/>
        </w:rPr>
        <w:t>区</w:t>
      </w:r>
      <w:r>
        <w:rPr>
          <w:rFonts w:hint="eastAsia" w:ascii="仿宋_GB2312" w:eastAsia="仿宋_GB2312"/>
          <w:sz w:val="32"/>
          <w:szCs w:val="32"/>
        </w:rPr>
        <w:t>工作实际，制定本计划。</w:t>
      </w:r>
    </w:p>
    <w:p w14:paraId="4C7FB133">
      <w:pPr>
        <w:keepNext w:val="0"/>
        <w:keepLines w:val="0"/>
        <w:pageBreakBefore w:val="0"/>
        <w:widowControl w:val="0"/>
        <w:kinsoku/>
        <w:wordWrap/>
        <w:overflowPunct/>
        <w:topLinePunct w:val="0"/>
        <w:autoSpaceDE/>
        <w:autoSpaceDN/>
        <w:bidi w:val="0"/>
        <w:adjustRightInd/>
        <w:snapToGrid w:val="0"/>
        <w:spacing w:after="0" w:line="560" w:lineRule="exact"/>
        <w:ind w:firstLine="640" w:firstLineChars="200"/>
        <w:jc w:val="both"/>
        <w:textAlignment w:val="auto"/>
        <w:rPr>
          <w:rFonts w:hint="eastAsia" w:ascii="黑体" w:hAnsi="黑体" w:eastAsia="黑体"/>
          <w:sz w:val="32"/>
          <w:szCs w:val="32"/>
        </w:rPr>
      </w:pPr>
      <w:r>
        <w:rPr>
          <w:rFonts w:hint="eastAsia" w:ascii="黑体" w:hAnsi="黑体" w:eastAsia="黑体"/>
          <w:sz w:val="32"/>
          <w:szCs w:val="32"/>
        </w:rPr>
        <w:t>一、常规执法检查</w:t>
      </w:r>
    </w:p>
    <w:p w14:paraId="53038963">
      <w:pPr>
        <w:keepNext w:val="0"/>
        <w:keepLines w:val="0"/>
        <w:pageBreakBefore w:val="0"/>
        <w:widowControl w:val="0"/>
        <w:kinsoku/>
        <w:wordWrap/>
        <w:overflowPunct/>
        <w:topLinePunct w:val="0"/>
        <w:autoSpaceDE/>
        <w:autoSpaceDN/>
        <w:bidi w:val="0"/>
        <w:adjustRightInd/>
        <w:snapToGrid w:val="0"/>
        <w:spacing w:after="0" w:line="560" w:lineRule="exact"/>
        <w:ind w:firstLine="640" w:firstLineChars="200"/>
        <w:jc w:val="both"/>
        <w:textAlignment w:val="auto"/>
        <w:rPr>
          <w:rFonts w:hint="eastAsia" w:ascii="楷体_GB2312" w:eastAsia="楷体_GB2312"/>
          <w:sz w:val="32"/>
          <w:szCs w:val="32"/>
        </w:rPr>
      </w:pPr>
      <w:r>
        <w:rPr>
          <w:rFonts w:hint="eastAsia" w:ascii="楷体_GB2312" w:eastAsia="楷体_GB2312"/>
          <w:sz w:val="32"/>
          <w:szCs w:val="32"/>
        </w:rPr>
        <w:t>（一）检查范围</w:t>
      </w:r>
    </w:p>
    <w:p w14:paraId="154E55EB">
      <w:pPr>
        <w:keepNext w:val="0"/>
        <w:keepLines w:val="0"/>
        <w:pageBreakBefore w:val="0"/>
        <w:widowControl w:val="0"/>
        <w:kinsoku/>
        <w:wordWrap/>
        <w:overflowPunct/>
        <w:topLinePunct w:val="0"/>
        <w:autoSpaceDE/>
        <w:autoSpaceDN/>
        <w:bidi w:val="0"/>
        <w:adjustRightInd/>
        <w:snapToGrid w:val="0"/>
        <w:spacing w:after="0" w:line="560" w:lineRule="exact"/>
        <w:ind w:firstLine="640" w:firstLineChars="200"/>
        <w:jc w:val="both"/>
        <w:textAlignment w:val="auto"/>
        <w:rPr>
          <w:rFonts w:hint="eastAsia" w:ascii="仿宋_GB2312" w:eastAsia="仿宋_GB2312"/>
          <w:sz w:val="32"/>
          <w:szCs w:val="32"/>
        </w:rPr>
      </w:pPr>
      <w:r>
        <w:rPr>
          <w:rFonts w:hint="eastAsia" w:ascii="仿宋_GB2312" w:eastAsia="仿宋_GB2312"/>
          <w:sz w:val="32"/>
          <w:szCs w:val="32"/>
        </w:rPr>
        <w:t>202</w:t>
      </w:r>
      <w:r>
        <w:rPr>
          <w:rFonts w:hint="eastAsia" w:ascii="仿宋_GB2312" w:eastAsia="仿宋_GB2312"/>
          <w:sz w:val="32"/>
          <w:szCs w:val="32"/>
          <w:lang w:val="en-US" w:eastAsia="zh-CN"/>
        </w:rPr>
        <w:t>6</w:t>
      </w:r>
      <w:r>
        <w:rPr>
          <w:rFonts w:hint="eastAsia" w:ascii="仿宋_GB2312" w:eastAsia="仿宋_GB2312"/>
          <w:sz w:val="32"/>
          <w:szCs w:val="32"/>
        </w:rPr>
        <w:t>年度全</w:t>
      </w:r>
      <w:r>
        <w:rPr>
          <w:rFonts w:hint="eastAsia" w:ascii="仿宋_GB2312" w:eastAsia="仿宋_GB2312"/>
          <w:sz w:val="32"/>
          <w:szCs w:val="32"/>
          <w:lang w:eastAsia="zh-CN"/>
        </w:rPr>
        <w:t>区</w:t>
      </w:r>
      <w:r>
        <w:rPr>
          <w:rFonts w:hint="eastAsia" w:ascii="仿宋_GB2312" w:eastAsia="仿宋_GB2312"/>
          <w:sz w:val="32"/>
          <w:szCs w:val="32"/>
        </w:rPr>
        <w:t>基本单位名录库维护更新审定的单位。</w:t>
      </w:r>
    </w:p>
    <w:p w14:paraId="63518D6E">
      <w:pPr>
        <w:keepNext w:val="0"/>
        <w:keepLines w:val="0"/>
        <w:pageBreakBefore w:val="0"/>
        <w:widowControl w:val="0"/>
        <w:kinsoku/>
        <w:wordWrap/>
        <w:overflowPunct/>
        <w:topLinePunct w:val="0"/>
        <w:autoSpaceDE/>
        <w:autoSpaceDN/>
        <w:bidi w:val="0"/>
        <w:adjustRightInd/>
        <w:snapToGrid w:val="0"/>
        <w:spacing w:after="0" w:line="560" w:lineRule="exact"/>
        <w:ind w:firstLine="640" w:firstLineChars="200"/>
        <w:jc w:val="both"/>
        <w:textAlignment w:val="auto"/>
        <w:rPr>
          <w:rFonts w:hint="eastAsia" w:ascii="楷体_GB2312" w:eastAsia="楷体_GB2312"/>
          <w:sz w:val="32"/>
          <w:szCs w:val="32"/>
        </w:rPr>
      </w:pPr>
      <w:r>
        <w:rPr>
          <w:rFonts w:hint="eastAsia" w:ascii="楷体_GB2312" w:eastAsia="楷体_GB2312"/>
          <w:sz w:val="32"/>
          <w:szCs w:val="32"/>
        </w:rPr>
        <w:t>（二）检查方式</w:t>
      </w:r>
    </w:p>
    <w:p w14:paraId="4CF16B1A">
      <w:pPr>
        <w:keepNext w:val="0"/>
        <w:keepLines w:val="0"/>
        <w:pageBreakBefore w:val="0"/>
        <w:widowControl w:val="0"/>
        <w:kinsoku/>
        <w:wordWrap/>
        <w:overflowPunct/>
        <w:topLinePunct w:val="0"/>
        <w:autoSpaceDE/>
        <w:autoSpaceDN/>
        <w:bidi w:val="0"/>
        <w:adjustRightInd/>
        <w:snapToGrid w:val="0"/>
        <w:spacing w:after="0" w:line="560" w:lineRule="exact"/>
        <w:ind w:firstLine="640" w:firstLineChars="200"/>
        <w:jc w:val="both"/>
        <w:textAlignment w:val="auto"/>
        <w:rPr>
          <w:rFonts w:hint="eastAsia" w:ascii="仿宋_GB2312" w:eastAsia="仿宋_GB2312"/>
          <w:sz w:val="32"/>
          <w:szCs w:val="32"/>
        </w:rPr>
      </w:pPr>
      <w:r>
        <w:rPr>
          <w:rFonts w:hint="eastAsia" w:ascii="仿宋_GB2312" w:eastAsia="仿宋_GB2312"/>
          <w:sz w:val="32"/>
          <w:szCs w:val="32"/>
        </w:rPr>
        <w:t>通过“双随机”方式</w:t>
      </w:r>
      <w:r>
        <w:rPr>
          <w:rFonts w:hint="eastAsia" w:ascii="仿宋_GB2312" w:eastAsia="仿宋_GB2312"/>
          <w:sz w:val="32"/>
          <w:szCs w:val="32"/>
          <w:lang w:val="en-US" w:eastAsia="zh-CN"/>
        </w:rPr>
        <w:t>选</w:t>
      </w:r>
      <w:r>
        <w:rPr>
          <w:rFonts w:hint="eastAsia" w:ascii="仿宋_GB2312" w:eastAsia="仿宋_GB2312"/>
          <w:sz w:val="32"/>
          <w:szCs w:val="32"/>
        </w:rPr>
        <w:t>取</w:t>
      </w:r>
      <w:r>
        <w:rPr>
          <w:rFonts w:hint="eastAsia" w:ascii="仿宋_GB2312" w:eastAsia="仿宋_GB2312"/>
          <w:sz w:val="32"/>
          <w:szCs w:val="32"/>
          <w:lang w:val="en-US" w:eastAsia="zh-CN"/>
        </w:rPr>
        <w:t>2个街道抽取不低于16家检查单位开展</w:t>
      </w:r>
      <w:r>
        <w:rPr>
          <w:rFonts w:hint="eastAsia" w:ascii="仿宋_GB2312" w:eastAsia="仿宋_GB2312"/>
          <w:sz w:val="32"/>
          <w:szCs w:val="32"/>
        </w:rPr>
        <w:t>现场</w:t>
      </w:r>
      <w:r>
        <w:rPr>
          <w:rFonts w:hint="eastAsia" w:ascii="仿宋_GB2312" w:eastAsia="仿宋_GB2312"/>
          <w:sz w:val="32"/>
          <w:szCs w:val="32"/>
          <w:lang w:val="en-US" w:eastAsia="zh-CN"/>
        </w:rPr>
        <w:t>执法</w:t>
      </w:r>
      <w:r>
        <w:rPr>
          <w:rFonts w:hint="eastAsia" w:ascii="仿宋_GB2312" w:eastAsia="仿宋_GB2312"/>
          <w:sz w:val="32"/>
          <w:szCs w:val="32"/>
        </w:rPr>
        <w:t>检查。信用红名单企业免于检查。</w:t>
      </w:r>
    </w:p>
    <w:p w14:paraId="6B6E355C">
      <w:pPr>
        <w:keepNext w:val="0"/>
        <w:keepLines w:val="0"/>
        <w:pageBreakBefore w:val="0"/>
        <w:widowControl w:val="0"/>
        <w:kinsoku/>
        <w:wordWrap/>
        <w:overflowPunct/>
        <w:topLinePunct w:val="0"/>
        <w:autoSpaceDE/>
        <w:autoSpaceDN/>
        <w:bidi w:val="0"/>
        <w:adjustRightInd/>
        <w:snapToGrid w:val="0"/>
        <w:spacing w:after="0" w:line="560" w:lineRule="exact"/>
        <w:ind w:firstLine="640" w:firstLineChars="200"/>
        <w:jc w:val="both"/>
        <w:textAlignment w:val="auto"/>
        <w:rPr>
          <w:rFonts w:hint="eastAsia" w:ascii="楷体_GB2312" w:eastAsia="楷体_GB2312"/>
          <w:sz w:val="32"/>
          <w:szCs w:val="32"/>
        </w:rPr>
      </w:pPr>
      <w:r>
        <w:rPr>
          <w:rFonts w:hint="eastAsia" w:ascii="楷体_GB2312" w:eastAsia="楷体_GB2312"/>
          <w:sz w:val="32"/>
          <w:szCs w:val="32"/>
        </w:rPr>
        <w:t>（三）检查内容</w:t>
      </w:r>
    </w:p>
    <w:p w14:paraId="3FC74A86">
      <w:pPr>
        <w:keepNext w:val="0"/>
        <w:keepLines w:val="0"/>
        <w:pageBreakBefore w:val="0"/>
        <w:widowControl w:val="0"/>
        <w:kinsoku/>
        <w:wordWrap/>
        <w:overflowPunct/>
        <w:topLinePunct w:val="0"/>
        <w:autoSpaceDE/>
        <w:autoSpaceDN/>
        <w:bidi w:val="0"/>
        <w:adjustRightInd/>
        <w:snapToGrid w:val="0"/>
        <w:spacing w:after="0" w:line="560" w:lineRule="exact"/>
        <w:ind w:firstLine="640" w:firstLineChars="200"/>
        <w:jc w:val="both"/>
        <w:textAlignment w:val="auto"/>
        <w:rPr>
          <w:rFonts w:hint="eastAsia" w:ascii="仿宋_GB2312" w:eastAsia="仿宋_GB2312"/>
          <w:sz w:val="32"/>
          <w:szCs w:val="32"/>
        </w:rPr>
      </w:pPr>
      <w:r>
        <w:rPr>
          <w:rFonts w:hint="eastAsia" w:ascii="仿宋_GB2312" w:eastAsia="仿宋_GB2312"/>
          <w:sz w:val="32"/>
          <w:szCs w:val="32"/>
        </w:rPr>
        <w:t>执法检查专业涵盖规上工业、固定资产投资、限上批发零售业、限上住宿餐饮业、规上服务业、建筑业、房地产、劳动工资、能源资源、企业研发等</w:t>
      </w:r>
      <w:r>
        <w:rPr>
          <w:rFonts w:hint="eastAsia" w:ascii="仿宋_GB2312" w:eastAsia="仿宋_GB2312"/>
          <w:sz w:val="32"/>
          <w:szCs w:val="32"/>
          <w:lang w:eastAsia="zh-CN"/>
        </w:rPr>
        <w:t>，</w:t>
      </w:r>
      <w:r>
        <w:rPr>
          <w:rFonts w:hint="eastAsia" w:ascii="仿宋_GB2312" w:eastAsia="仿宋_GB2312"/>
          <w:sz w:val="32"/>
          <w:szCs w:val="32"/>
        </w:rPr>
        <w:t>相关专业执法检查指标具体以执法检查通知为准。</w:t>
      </w:r>
    </w:p>
    <w:p w14:paraId="3CBCFE56">
      <w:pPr>
        <w:keepNext w:val="0"/>
        <w:keepLines w:val="0"/>
        <w:pageBreakBefore w:val="0"/>
        <w:widowControl w:val="0"/>
        <w:kinsoku/>
        <w:wordWrap/>
        <w:overflowPunct/>
        <w:topLinePunct w:val="0"/>
        <w:autoSpaceDE/>
        <w:autoSpaceDN/>
        <w:bidi w:val="0"/>
        <w:adjustRightInd/>
        <w:snapToGrid w:val="0"/>
        <w:spacing w:after="0" w:line="560" w:lineRule="exact"/>
        <w:ind w:firstLine="640" w:firstLineChars="200"/>
        <w:jc w:val="both"/>
        <w:textAlignment w:val="auto"/>
        <w:rPr>
          <w:rFonts w:hint="eastAsia" w:ascii="仿宋_GB2312" w:eastAsia="仿宋_GB2312"/>
          <w:sz w:val="32"/>
          <w:szCs w:val="32"/>
        </w:rPr>
      </w:pPr>
      <w:r>
        <w:rPr>
          <w:rFonts w:hint="eastAsia" w:ascii="仿宋_GB2312" w:eastAsia="仿宋_GB2312"/>
          <w:sz w:val="32"/>
          <w:szCs w:val="32"/>
        </w:rPr>
        <w:t>检查报告期：202</w:t>
      </w:r>
      <w:r>
        <w:rPr>
          <w:rFonts w:hint="eastAsia" w:ascii="仿宋_GB2312" w:eastAsia="仿宋_GB2312"/>
          <w:sz w:val="32"/>
          <w:szCs w:val="32"/>
          <w:lang w:val="en-US" w:eastAsia="zh-CN"/>
        </w:rPr>
        <w:t>6</w:t>
      </w:r>
      <w:r>
        <w:rPr>
          <w:rFonts w:hint="eastAsia" w:ascii="仿宋_GB2312" w:eastAsia="仿宋_GB2312"/>
          <w:sz w:val="32"/>
          <w:szCs w:val="32"/>
        </w:rPr>
        <w:t>年当期数据。</w:t>
      </w:r>
    </w:p>
    <w:p w14:paraId="768F95F6">
      <w:pPr>
        <w:keepNext w:val="0"/>
        <w:keepLines w:val="0"/>
        <w:pageBreakBefore w:val="0"/>
        <w:widowControl w:val="0"/>
        <w:kinsoku/>
        <w:wordWrap/>
        <w:overflowPunct/>
        <w:topLinePunct w:val="0"/>
        <w:autoSpaceDE/>
        <w:autoSpaceDN/>
        <w:bidi w:val="0"/>
        <w:adjustRightInd/>
        <w:snapToGrid w:val="0"/>
        <w:spacing w:after="0" w:line="560" w:lineRule="exact"/>
        <w:ind w:firstLine="640" w:firstLineChars="200"/>
        <w:jc w:val="both"/>
        <w:textAlignment w:val="auto"/>
        <w:rPr>
          <w:rFonts w:hint="eastAsia" w:ascii="楷体_GB2312" w:eastAsia="楷体_GB2312"/>
          <w:sz w:val="32"/>
          <w:szCs w:val="32"/>
        </w:rPr>
      </w:pPr>
      <w:r>
        <w:rPr>
          <w:rFonts w:hint="eastAsia" w:ascii="楷体_GB2312" w:eastAsia="楷体_GB2312"/>
          <w:sz w:val="32"/>
          <w:szCs w:val="32"/>
        </w:rPr>
        <w:t>（四）检查重点</w:t>
      </w:r>
    </w:p>
    <w:p w14:paraId="71225479">
      <w:pPr>
        <w:keepNext w:val="0"/>
        <w:keepLines w:val="0"/>
        <w:pageBreakBefore w:val="0"/>
        <w:widowControl w:val="0"/>
        <w:kinsoku/>
        <w:wordWrap/>
        <w:overflowPunct/>
        <w:topLinePunct w:val="0"/>
        <w:autoSpaceDE/>
        <w:autoSpaceDN/>
        <w:bidi w:val="0"/>
        <w:adjustRightInd/>
        <w:snapToGrid w:val="0"/>
        <w:spacing w:after="0" w:line="560" w:lineRule="exact"/>
        <w:ind w:firstLine="640" w:firstLineChars="200"/>
        <w:jc w:val="both"/>
        <w:textAlignment w:val="auto"/>
        <w:rPr>
          <w:rFonts w:hint="eastAsia" w:ascii="仿宋_GB2312" w:eastAsia="仿宋_GB2312"/>
          <w:sz w:val="32"/>
          <w:szCs w:val="32"/>
        </w:rPr>
      </w:pPr>
      <w:r>
        <w:rPr>
          <w:rFonts w:hint="eastAsia" w:ascii="仿宋_GB2312" w:eastAsia="仿宋_GB2312"/>
          <w:sz w:val="32"/>
          <w:szCs w:val="32"/>
        </w:rPr>
        <w:t>重点检查指标数据真实情况，核查是否存在“数据寻租”、违规干预统计工作等行为。</w:t>
      </w:r>
    </w:p>
    <w:p w14:paraId="3698E871">
      <w:pPr>
        <w:keepNext w:val="0"/>
        <w:keepLines w:val="0"/>
        <w:pageBreakBefore w:val="0"/>
        <w:widowControl w:val="0"/>
        <w:kinsoku/>
        <w:wordWrap/>
        <w:overflowPunct/>
        <w:topLinePunct w:val="0"/>
        <w:autoSpaceDE/>
        <w:autoSpaceDN/>
        <w:bidi w:val="0"/>
        <w:adjustRightInd/>
        <w:snapToGrid w:val="0"/>
        <w:spacing w:after="0" w:line="560" w:lineRule="exact"/>
        <w:ind w:firstLine="640" w:firstLineChars="200"/>
        <w:jc w:val="both"/>
        <w:textAlignment w:val="auto"/>
        <w:rPr>
          <w:rFonts w:hint="eastAsia" w:ascii="楷体_GB2312" w:eastAsia="楷体_GB2312"/>
          <w:sz w:val="32"/>
          <w:szCs w:val="32"/>
        </w:rPr>
      </w:pPr>
      <w:r>
        <w:rPr>
          <w:rFonts w:hint="eastAsia" w:ascii="楷体_GB2312" w:eastAsia="楷体_GB2312"/>
          <w:sz w:val="32"/>
          <w:szCs w:val="32"/>
        </w:rPr>
        <w:t>（五）时间安排</w:t>
      </w:r>
    </w:p>
    <w:p w14:paraId="6981B0DE">
      <w:pPr>
        <w:keepNext w:val="0"/>
        <w:keepLines w:val="0"/>
        <w:pageBreakBefore w:val="0"/>
        <w:widowControl w:val="0"/>
        <w:kinsoku/>
        <w:wordWrap/>
        <w:overflowPunct/>
        <w:topLinePunct w:val="0"/>
        <w:autoSpaceDE/>
        <w:autoSpaceDN/>
        <w:bidi w:val="0"/>
        <w:adjustRightInd/>
        <w:snapToGrid w:val="0"/>
        <w:spacing w:after="0" w:line="560" w:lineRule="exact"/>
        <w:ind w:firstLine="640" w:firstLineChars="200"/>
        <w:jc w:val="both"/>
        <w:textAlignment w:val="auto"/>
        <w:rPr>
          <w:rFonts w:hint="eastAsia" w:ascii="仿宋_GB2312" w:eastAsia="仿宋_GB2312"/>
          <w:sz w:val="32"/>
          <w:szCs w:val="32"/>
        </w:rPr>
      </w:pPr>
      <w:r>
        <w:rPr>
          <w:rFonts w:hint="eastAsia" w:ascii="仿宋_GB2312" w:eastAsia="仿宋_GB2312"/>
          <w:sz w:val="32"/>
          <w:szCs w:val="32"/>
        </w:rPr>
        <w:t>8月底前</w:t>
      </w:r>
      <w:r>
        <w:rPr>
          <w:rFonts w:hint="eastAsia" w:ascii="仿宋_GB2312" w:eastAsia="仿宋_GB2312"/>
          <w:sz w:val="32"/>
          <w:szCs w:val="32"/>
          <w:lang w:val="en-US" w:eastAsia="zh-CN"/>
        </w:rPr>
        <w:t>开展执法检查任务</w:t>
      </w:r>
      <w:r>
        <w:rPr>
          <w:rFonts w:hint="eastAsia" w:ascii="仿宋_GB2312" w:eastAsia="仿宋_GB2312"/>
          <w:sz w:val="32"/>
          <w:szCs w:val="32"/>
        </w:rPr>
        <w:t>，</w:t>
      </w:r>
      <w:r>
        <w:rPr>
          <w:rFonts w:hint="eastAsia" w:ascii="仿宋_GB2312" w:hAnsi="仿宋_GB2312" w:eastAsia="仿宋_GB2312" w:cs="仿宋_GB2312"/>
          <w:sz w:val="32"/>
          <w:szCs w:val="32"/>
        </w:rPr>
        <w:t>根据检查时间和相关文件要求完成国家统计局</w:t>
      </w:r>
      <w:r>
        <w:rPr>
          <w:rFonts w:hint="eastAsia" w:ascii="仿宋_GB2312" w:hAnsi="仿宋_GB2312" w:eastAsia="仿宋_GB2312" w:cs="仿宋_GB2312"/>
          <w:sz w:val="32"/>
          <w:szCs w:val="32"/>
          <w:lang w:val="en-US" w:eastAsia="zh-CN"/>
        </w:rPr>
        <w:t>统计云</w:t>
      </w:r>
      <w:r>
        <w:rPr>
          <w:rFonts w:hint="eastAsia" w:ascii="仿宋_GB2312" w:hAnsi="仿宋_GB2312" w:eastAsia="仿宋_GB2312" w:cs="仿宋_GB2312"/>
          <w:sz w:val="32"/>
          <w:szCs w:val="32"/>
        </w:rPr>
        <w:t>平台《统计执法检查处理情况调查表》</w:t>
      </w:r>
      <w:r>
        <w:rPr>
          <w:rFonts w:hint="eastAsia" w:ascii="仿宋_GB2312" w:hAnsi="仿宋_GB2312" w:eastAsia="仿宋_GB2312" w:cs="仿宋_GB2312"/>
          <w:sz w:val="32"/>
          <w:szCs w:val="32"/>
          <w:lang w:val="en-US" w:eastAsia="zh-CN"/>
        </w:rPr>
        <w:t>和江苏省统计局</w:t>
      </w:r>
      <w:r>
        <w:rPr>
          <w:rFonts w:hint="eastAsia" w:ascii="仿宋_GB2312" w:hAnsi="仿宋_GB2312" w:eastAsia="仿宋_GB2312" w:cs="仿宋_GB2312"/>
          <w:sz w:val="32"/>
          <w:szCs w:val="32"/>
        </w:rPr>
        <w:t>统计依法</w:t>
      </w:r>
      <w:r>
        <w:rPr>
          <w:rFonts w:hint="eastAsia" w:ascii="仿宋_GB2312" w:hAnsi="仿宋_GB2312" w:eastAsia="仿宋_GB2312" w:cs="仿宋_GB2312"/>
          <w:sz w:val="32"/>
          <w:szCs w:val="32"/>
          <w:lang w:val="en-US" w:eastAsia="zh-CN"/>
        </w:rPr>
        <w:t>行政</w:t>
      </w:r>
      <w:r>
        <w:rPr>
          <w:rFonts w:hint="eastAsia" w:ascii="仿宋_GB2312" w:hAnsi="仿宋_GB2312" w:eastAsia="仿宋_GB2312" w:cs="仿宋_GB2312"/>
          <w:sz w:val="32"/>
          <w:szCs w:val="32"/>
        </w:rPr>
        <w:t>管理系统录入和填报工作。</w:t>
      </w:r>
    </w:p>
    <w:p w14:paraId="00B8FF82">
      <w:pPr>
        <w:keepNext w:val="0"/>
        <w:keepLines w:val="0"/>
        <w:pageBreakBefore w:val="0"/>
        <w:widowControl w:val="0"/>
        <w:kinsoku/>
        <w:wordWrap/>
        <w:overflowPunct/>
        <w:topLinePunct w:val="0"/>
        <w:autoSpaceDE/>
        <w:autoSpaceDN/>
        <w:bidi w:val="0"/>
        <w:adjustRightInd/>
        <w:snapToGrid w:val="0"/>
        <w:spacing w:after="0" w:line="560" w:lineRule="exact"/>
        <w:ind w:firstLine="640" w:firstLineChars="200"/>
        <w:jc w:val="both"/>
        <w:textAlignment w:val="auto"/>
        <w:rPr>
          <w:rFonts w:hint="eastAsia" w:ascii="仿宋_GB2312" w:eastAsia="仿宋_GB2312"/>
          <w:sz w:val="32"/>
          <w:szCs w:val="32"/>
        </w:rPr>
      </w:pPr>
      <w:r>
        <w:rPr>
          <w:rFonts w:hint="eastAsia" w:ascii="仿宋_GB2312" w:eastAsia="仿宋_GB2312"/>
          <w:sz w:val="32"/>
          <w:szCs w:val="32"/>
        </w:rPr>
        <w:t>因特殊原因或突发情况，造成无法按期完成执法检查任务的，</w:t>
      </w:r>
      <w:r>
        <w:rPr>
          <w:rFonts w:hint="eastAsia" w:ascii="仿宋_GB2312" w:eastAsia="仿宋_GB2312"/>
          <w:sz w:val="32"/>
          <w:szCs w:val="32"/>
          <w:lang w:eastAsia="zh-CN"/>
        </w:rPr>
        <w:t>上报至苏州市统计局</w:t>
      </w:r>
      <w:r>
        <w:rPr>
          <w:rFonts w:hint="eastAsia" w:ascii="仿宋_GB2312" w:eastAsia="仿宋_GB2312"/>
          <w:sz w:val="32"/>
          <w:szCs w:val="32"/>
        </w:rPr>
        <w:t>统计执法监督局申请延期。</w:t>
      </w:r>
    </w:p>
    <w:p w14:paraId="7FC6B760">
      <w:pPr>
        <w:keepNext w:val="0"/>
        <w:keepLines w:val="0"/>
        <w:pageBreakBefore w:val="0"/>
        <w:widowControl w:val="0"/>
        <w:kinsoku/>
        <w:wordWrap/>
        <w:overflowPunct/>
        <w:topLinePunct w:val="0"/>
        <w:autoSpaceDE/>
        <w:autoSpaceDN/>
        <w:bidi w:val="0"/>
        <w:adjustRightInd/>
        <w:snapToGrid w:val="0"/>
        <w:spacing w:after="0" w:line="560" w:lineRule="exact"/>
        <w:ind w:firstLine="640" w:firstLineChars="200"/>
        <w:jc w:val="both"/>
        <w:textAlignment w:val="auto"/>
        <w:rPr>
          <w:rFonts w:hint="eastAsia" w:ascii="黑体" w:hAnsi="黑体" w:eastAsia="黑体"/>
          <w:sz w:val="32"/>
          <w:szCs w:val="32"/>
        </w:rPr>
      </w:pPr>
      <w:r>
        <w:rPr>
          <w:rFonts w:hint="eastAsia" w:ascii="黑体" w:hAnsi="黑体" w:eastAsia="黑体"/>
          <w:sz w:val="32"/>
          <w:szCs w:val="32"/>
        </w:rPr>
        <w:t>二、专项执法检查</w:t>
      </w:r>
    </w:p>
    <w:p w14:paraId="56F179C6">
      <w:pPr>
        <w:keepNext w:val="0"/>
        <w:keepLines w:val="0"/>
        <w:pageBreakBefore w:val="0"/>
        <w:widowControl w:val="0"/>
        <w:kinsoku/>
        <w:wordWrap/>
        <w:overflowPunct/>
        <w:topLinePunct w:val="0"/>
        <w:autoSpaceDE/>
        <w:autoSpaceDN/>
        <w:bidi w:val="0"/>
        <w:adjustRightInd/>
        <w:snapToGrid w:val="0"/>
        <w:spacing w:after="0" w:line="560" w:lineRule="exact"/>
        <w:ind w:firstLine="640" w:firstLineChars="200"/>
        <w:jc w:val="both"/>
        <w:textAlignment w:val="auto"/>
        <w:rPr>
          <w:rFonts w:hint="eastAsia" w:ascii="仿宋_GB2312" w:eastAsia="仿宋_GB2312"/>
          <w:sz w:val="32"/>
          <w:szCs w:val="32"/>
        </w:rPr>
      </w:pPr>
      <w:r>
        <w:rPr>
          <w:rFonts w:hint="eastAsia" w:ascii="仿宋_GB2312" w:eastAsia="仿宋_GB2312"/>
          <w:sz w:val="32"/>
          <w:szCs w:val="32"/>
          <w:lang w:val="en-US" w:eastAsia="zh-CN"/>
        </w:rPr>
        <w:t>配合省、市统计局完成涉外统计调查机构执法检查和市场监管领域“双随机、一公开”部门联合抽查</w:t>
      </w:r>
      <w:r>
        <w:rPr>
          <w:rFonts w:hint="eastAsia" w:ascii="仿宋_GB2312" w:eastAsia="仿宋_GB2312"/>
          <w:sz w:val="32"/>
          <w:szCs w:val="32"/>
        </w:rPr>
        <w:t>。</w:t>
      </w:r>
    </w:p>
    <w:p w14:paraId="71B8BE1B">
      <w:pPr>
        <w:keepNext w:val="0"/>
        <w:keepLines w:val="0"/>
        <w:pageBreakBefore w:val="0"/>
        <w:widowControl w:val="0"/>
        <w:kinsoku/>
        <w:wordWrap/>
        <w:overflowPunct/>
        <w:topLinePunct w:val="0"/>
        <w:autoSpaceDE/>
        <w:autoSpaceDN/>
        <w:bidi w:val="0"/>
        <w:adjustRightInd/>
        <w:snapToGrid w:val="0"/>
        <w:spacing w:after="0" w:line="560" w:lineRule="exact"/>
        <w:ind w:firstLine="640" w:firstLineChars="200"/>
        <w:jc w:val="both"/>
        <w:textAlignment w:val="auto"/>
        <w:rPr>
          <w:rFonts w:hint="eastAsia" w:ascii="黑体" w:hAnsi="黑体" w:eastAsia="黑体"/>
          <w:sz w:val="32"/>
          <w:szCs w:val="32"/>
        </w:rPr>
      </w:pPr>
      <w:r>
        <w:rPr>
          <w:rFonts w:hint="eastAsia" w:ascii="黑体" w:hAnsi="黑体" w:eastAsia="黑体"/>
          <w:sz w:val="32"/>
          <w:szCs w:val="32"/>
        </w:rPr>
        <w:t>三、重点执法检查</w:t>
      </w:r>
    </w:p>
    <w:p w14:paraId="6EDCC330">
      <w:pPr>
        <w:keepNext w:val="0"/>
        <w:keepLines w:val="0"/>
        <w:pageBreakBefore w:val="0"/>
        <w:widowControl w:val="0"/>
        <w:kinsoku/>
        <w:wordWrap/>
        <w:overflowPunct/>
        <w:topLinePunct w:val="0"/>
        <w:autoSpaceDE/>
        <w:autoSpaceDN/>
        <w:bidi w:val="0"/>
        <w:adjustRightInd/>
        <w:snapToGrid w:val="0"/>
        <w:spacing w:after="0" w:line="560" w:lineRule="exact"/>
        <w:ind w:firstLine="640" w:firstLineChars="200"/>
        <w:jc w:val="both"/>
        <w:textAlignment w:val="auto"/>
        <w:rPr>
          <w:rFonts w:hint="eastAsia" w:ascii="楷体_GB2312" w:eastAsia="楷体_GB2312"/>
          <w:sz w:val="32"/>
          <w:szCs w:val="32"/>
        </w:rPr>
      </w:pPr>
      <w:r>
        <w:rPr>
          <w:rFonts w:hint="eastAsia" w:ascii="楷体_GB2312" w:eastAsia="楷体_GB2312"/>
          <w:sz w:val="32"/>
          <w:szCs w:val="32"/>
        </w:rPr>
        <w:t>（一）检查对象。</w:t>
      </w:r>
    </w:p>
    <w:p w14:paraId="107E3368">
      <w:pPr>
        <w:keepNext w:val="0"/>
        <w:keepLines w:val="0"/>
        <w:pageBreakBefore w:val="0"/>
        <w:widowControl w:val="0"/>
        <w:kinsoku/>
        <w:wordWrap/>
        <w:overflowPunct/>
        <w:topLinePunct w:val="0"/>
        <w:autoSpaceDE/>
        <w:autoSpaceDN/>
        <w:bidi w:val="0"/>
        <w:adjustRightInd/>
        <w:snapToGrid w:val="0"/>
        <w:spacing w:after="0" w:line="560" w:lineRule="exact"/>
        <w:ind w:firstLine="643" w:firstLineChars="200"/>
        <w:jc w:val="both"/>
        <w:textAlignment w:val="auto"/>
        <w:rPr>
          <w:rFonts w:hint="eastAsia" w:ascii="仿宋_GB2312" w:eastAsia="仿宋_GB2312"/>
          <w:sz w:val="32"/>
          <w:szCs w:val="32"/>
        </w:rPr>
      </w:pPr>
      <w:r>
        <w:rPr>
          <w:rFonts w:hint="eastAsia" w:ascii="仿宋_GB2312" w:eastAsia="仿宋_GB2312"/>
          <w:b/>
          <w:sz w:val="32"/>
          <w:szCs w:val="32"/>
        </w:rPr>
        <w:t>1.上级转交的统计执法检查。</w:t>
      </w:r>
      <w:r>
        <w:rPr>
          <w:rFonts w:hint="eastAsia" w:ascii="仿宋_GB2312" w:eastAsia="仿宋_GB2312"/>
          <w:sz w:val="32"/>
          <w:szCs w:val="32"/>
        </w:rPr>
        <w:t>上级统计部门转交的核查案件以及信访举报问题线索涉及的单位。</w:t>
      </w:r>
    </w:p>
    <w:p w14:paraId="4FC57AD5">
      <w:pPr>
        <w:keepNext w:val="0"/>
        <w:keepLines w:val="0"/>
        <w:pageBreakBefore w:val="0"/>
        <w:widowControl w:val="0"/>
        <w:kinsoku/>
        <w:wordWrap/>
        <w:overflowPunct/>
        <w:topLinePunct w:val="0"/>
        <w:autoSpaceDE/>
        <w:autoSpaceDN/>
        <w:bidi w:val="0"/>
        <w:adjustRightInd/>
        <w:snapToGrid w:val="0"/>
        <w:spacing w:after="0" w:line="560" w:lineRule="exact"/>
        <w:ind w:firstLine="643" w:firstLineChars="200"/>
        <w:jc w:val="both"/>
        <w:textAlignment w:val="auto"/>
        <w:rPr>
          <w:rFonts w:hint="eastAsia" w:ascii="仿宋_GB2312" w:eastAsia="仿宋_GB2312"/>
          <w:sz w:val="32"/>
          <w:szCs w:val="32"/>
        </w:rPr>
      </w:pPr>
      <w:r>
        <w:rPr>
          <w:rFonts w:hint="eastAsia" w:ascii="仿宋_GB2312" w:eastAsia="仿宋_GB2312"/>
          <w:b/>
          <w:sz w:val="32"/>
          <w:szCs w:val="32"/>
        </w:rPr>
        <w:t>2.对专业移交问题线索开展统计执法检查。</w:t>
      </w:r>
      <w:r>
        <w:rPr>
          <w:rFonts w:hint="eastAsia" w:ascii="仿宋_GB2312" w:eastAsia="仿宋_GB2312"/>
          <w:sz w:val="32"/>
          <w:szCs w:val="32"/>
        </w:rPr>
        <w:t>强化</w:t>
      </w:r>
      <w:r>
        <w:rPr>
          <w:rFonts w:hint="eastAsia" w:ascii="仿宋_GB2312" w:eastAsia="仿宋_GB2312"/>
          <w:sz w:val="32"/>
          <w:szCs w:val="32"/>
          <w:lang w:eastAsia="zh-CN"/>
        </w:rPr>
        <w:t>统计法治专业和业务专业</w:t>
      </w:r>
      <w:r>
        <w:rPr>
          <w:rFonts w:hint="eastAsia" w:ascii="仿宋_GB2312" w:eastAsia="仿宋_GB2312"/>
          <w:sz w:val="32"/>
          <w:szCs w:val="32"/>
        </w:rPr>
        <w:t>问题线索共享，在共同会商研判分析的基础上，联合选取重点单位开展执法检查。</w:t>
      </w:r>
    </w:p>
    <w:p w14:paraId="2D0049E1">
      <w:pPr>
        <w:keepNext w:val="0"/>
        <w:keepLines w:val="0"/>
        <w:pageBreakBefore w:val="0"/>
        <w:widowControl w:val="0"/>
        <w:kinsoku/>
        <w:wordWrap/>
        <w:overflowPunct/>
        <w:topLinePunct w:val="0"/>
        <w:autoSpaceDE/>
        <w:autoSpaceDN/>
        <w:bidi w:val="0"/>
        <w:adjustRightInd/>
        <w:snapToGrid w:val="0"/>
        <w:spacing w:after="0" w:line="560" w:lineRule="exact"/>
        <w:ind w:firstLine="643" w:firstLineChars="200"/>
        <w:jc w:val="both"/>
        <w:textAlignment w:val="auto"/>
        <w:rPr>
          <w:rFonts w:hint="eastAsia" w:ascii="仿宋_GB2312" w:eastAsia="仿宋_GB2312"/>
          <w:sz w:val="32"/>
          <w:szCs w:val="32"/>
        </w:rPr>
      </w:pPr>
      <w:r>
        <w:rPr>
          <w:rFonts w:hint="eastAsia" w:ascii="仿宋_GB2312" w:eastAsia="仿宋_GB2312"/>
          <w:b/>
          <w:sz w:val="32"/>
          <w:szCs w:val="32"/>
        </w:rPr>
        <w:t>3.结合重点工作开展统计执法检查。</w:t>
      </w:r>
      <w:r>
        <w:rPr>
          <w:rFonts w:hint="eastAsia" w:ascii="仿宋_GB2312" w:eastAsia="仿宋_GB2312"/>
          <w:sz w:val="32"/>
          <w:szCs w:val="32"/>
        </w:rPr>
        <w:t>对经济运行监测、入退库等重点工作中发现的涉嫌违反统计法的单位及统计违法问题线索举报开展统计执法检查。</w:t>
      </w:r>
    </w:p>
    <w:p w14:paraId="329B85BD">
      <w:pPr>
        <w:keepNext w:val="0"/>
        <w:keepLines w:val="0"/>
        <w:pageBreakBefore w:val="0"/>
        <w:widowControl w:val="0"/>
        <w:kinsoku/>
        <w:wordWrap/>
        <w:overflowPunct/>
        <w:topLinePunct w:val="0"/>
        <w:autoSpaceDE/>
        <w:autoSpaceDN/>
        <w:bidi w:val="0"/>
        <w:adjustRightInd/>
        <w:snapToGrid w:val="0"/>
        <w:spacing w:after="0" w:line="560" w:lineRule="exact"/>
        <w:ind w:firstLine="640" w:firstLineChars="200"/>
        <w:jc w:val="both"/>
        <w:textAlignment w:val="auto"/>
        <w:rPr>
          <w:rFonts w:hint="eastAsia" w:ascii="仿宋_GB2312" w:eastAsia="仿宋_GB2312"/>
          <w:sz w:val="32"/>
          <w:szCs w:val="32"/>
        </w:rPr>
      </w:pPr>
      <w:r>
        <w:rPr>
          <w:rFonts w:hint="eastAsia" w:ascii="楷体_GB2312" w:eastAsia="楷体_GB2312"/>
          <w:sz w:val="32"/>
          <w:szCs w:val="32"/>
        </w:rPr>
        <w:t>（二）检查方式。</w:t>
      </w:r>
      <w:r>
        <w:rPr>
          <w:rFonts w:hint="eastAsia" w:ascii="仿宋_GB2312" w:eastAsia="仿宋_GB2312"/>
          <w:sz w:val="32"/>
          <w:szCs w:val="32"/>
        </w:rPr>
        <w:t>现场检查。具体执法工作由</w:t>
      </w:r>
      <w:r>
        <w:rPr>
          <w:rFonts w:hint="eastAsia" w:ascii="仿宋_GB2312" w:eastAsia="仿宋_GB2312"/>
          <w:sz w:val="32"/>
          <w:szCs w:val="32"/>
          <w:lang w:eastAsia="zh-CN"/>
        </w:rPr>
        <w:t>法治专业和业务专业</w:t>
      </w:r>
      <w:r>
        <w:rPr>
          <w:rFonts w:hint="eastAsia" w:ascii="仿宋_GB2312" w:eastAsia="仿宋_GB2312"/>
          <w:sz w:val="32"/>
          <w:szCs w:val="32"/>
        </w:rPr>
        <w:t>共同落实。</w:t>
      </w:r>
    </w:p>
    <w:p w14:paraId="2F85D0E3">
      <w:pPr>
        <w:keepNext w:val="0"/>
        <w:keepLines w:val="0"/>
        <w:pageBreakBefore w:val="0"/>
        <w:widowControl w:val="0"/>
        <w:kinsoku/>
        <w:wordWrap/>
        <w:overflowPunct/>
        <w:topLinePunct w:val="0"/>
        <w:autoSpaceDE/>
        <w:autoSpaceDN/>
        <w:bidi w:val="0"/>
        <w:adjustRightInd/>
        <w:snapToGrid w:val="0"/>
        <w:spacing w:after="0" w:line="560" w:lineRule="exact"/>
        <w:ind w:firstLine="640" w:firstLineChars="200"/>
        <w:jc w:val="both"/>
        <w:textAlignment w:val="auto"/>
        <w:rPr>
          <w:rFonts w:hint="eastAsia" w:ascii="仿宋_GB2312" w:eastAsia="仿宋_GB2312"/>
          <w:sz w:val="32"/>
          <w:szCs w:val="32"/>
        </w:rPr>
      </w:pPr>
      <w:r>
        <w:rPr>
          <w:rFonts w:hint="eastAsia" w:ascii="楷体_GB2312" w:eastAsia="楷体_GB2312"/>
          <w:sz w:val="32"/>
          <w:szCs w:val="32"/>
        </w:rPr>
        <w:t>（三）检查内容。</w:t>
      </w:r>
      <w:r>
        <w:rPr>
          <w:rFonts w:hint="eastAsia" w:ascii="仿宋_GB2312" w:eastAsia="仿宋_GB2312"/>
          <w:sz w:val="32"/>
          <w:szCs w:val="32"/>
        </w:rPr>
        <w:t>是否存在数据失实问题；党委政府、统计机构和有关部门是否存在权力干预、“数据寻租”、对统计造假失职失察等问题。</w:t>
      </w:r>
    </w:p>
    <w:p w14:paraId="2C286564">
      <w:pPr>
        <w:keepNext w:val="0"/>
        <w:keepLines w:val="0"/>
        <w:pageBreakBefore w:val="0"/>
        <w:widowControl w:val="0"/>
        <w:kinsoku/>
        <w:wordWrap/>
        <w:overflowPunct/>
        <w:topLinePunct w:val="0"/>
        <w:autoSpaceDE/>
        <w:autoSpaceDN/>
        <w:bidi w:val="0"/>
        <w:adjustRightInd/>
        <w:snapToGrid w:val="0"/>
        <w:spacing w:after="0" w:line="560" w:lineRule="exact"/>
        <w:ind w:firstLine="640" w:firstLineChars="200"/>
        <w:jc w:val="both"/>
        <w:textAlignment w:val="auto"/>
        <w:rPr>
          <w:rFonts w:hint="eastAsia" w:ascii="仿宋_GB2312" w:eastAsia="仿宋_GB2312"/>
          <w:sz w:val="32"/>
          <w:szCs w:val="32"/>
        </w:rPr>
      </w:pPr>
      <w:r>
        <w:rPr>
          <w:rFonts w:hint="eastAsia" w:ascii="楷体_GB2312" w:eastAsia="楷体_GB2312"/>
          <w:sz w:val="32"/>
          <w:szCs w:val="32"/>
        </w:rPr>
        <w:t>（四）时间安排。</w:t>
      </w:r>
      <w:r>
        <w:rPr>
          <w:rFonts w:hint="eastAsia" w:ascii="仿宋_GB2312" w:eastAsia="仿宋_GB2312"/>
          <w:sz w:val="32"/>
          <w:szCs w:val="32"/>
        </w:rPr>
        <w:t>根据实际情况具体安排。</w:t>
      </w:r>
    </w:p>
    <w:p w14:paraId="38AD7FF0">
      <w:pPr>
        <w:keepNext w:val="0"/>
        <w:keepLines w:val="0"/>
        <w:pageBreakBefore w:val="0"/>
        <w:widowControl w:val="0"/>
        <w:kinsoku/>
        <w:wordWrap/>
        <w:overflowPunct/>
        <w:topLinePunct w:val="0"/>
        <w:autoSpaceDE/>
        <w:autoSpaceDN/>
        <w:bidi w:val="0"/>
        <w:adjustRightInd/>
        <w:snapToGrid w:val="0"/>
        <w:spacing w:after="0" w:line="560" w:lineRule="exact"/>
        <w:ind w:firstLine="640" w:firstLineChars="200"/>
        <w:jc w:val="both"/>
        <w:textAlignment w:val="auto"/>
        <w:rPr>
          <w:rFonts w:hint="eastAsia" w:ascii="黑体" w:hAnsi="黑体" w:eastAsia="黑体"/>
          <w:sz w:val="32"/>
          <w:szCs w:val="32"/>
        </w:rPr>
      </w:pPr>
      <w:r>
        <w:rPr>
          <w:rFonts w:hint="eastAsia" w:ascii="黑体" w:hAnsi="黑体" w:eastAsia="黑体"/>
          <w:sz w:val="32"/>
          <w:szCs w:val="32"/>
        </w:rPr>
        <w:t>四、工作要求</w:t>
      </w:r>
    </w:p>
    <w:p w14:paraId="3A7F2B44">
      <w:pPr>
        <w:keepNext w:val="0"/>
        <w:keepLines w:val="0"/>
        <w:pageBreakBefore w:val="0"/>
        <w:widowControl w:val="0"/>
        <w:kinsoku/>
        <w:wordWrap/>
        <w:overflowPunct/>
        <w:topLinePunct w:val="0"/>
        <w:autoSpaceDE/>
        <w:autoSpaceDN/>
        <w:bidi w:val="0"/>
        <w:adjustRightInd/>
        <w:snapToGrid w:val="0"/>
        <w:spacing w:after="0" w:line="560" w:lineRule="exact"/>
        <w:ind w:firstLine="640" w:firstLineChars="200"/>
        <w:jc w:val="both"/>
        <w:textAlignment w:val="auto"/>
        <w:rPr>
          <w:rFonts w:hint="eastAsia" w:ascii="仿宋_GB2312" w:eastAsia="仿宋_GB2312"/>
          <w:sz w:val="32"/>
          <w:szCs w:val="32"/>
        </w:rPr>
      </w:pPr>
      <w:r>
        <w:rPr>
          <w:rFonts w:hint="eastAsia" w:ascii="楷体_GB2312" w:eastAsia="楷体_GB2312"/>
          <w:sz w:val="32"/>
          <w:szCs w:val="32"/>
        </w:rPr>
        <w:t>（一）加强组织协调。</w:t>
      </w:r>
      <w:r>
        <w:rPr>
          <w:rFonts w:hint="eastAsia" w:ascii="仿宋_GB2312" w:eastAsia="仿宋_GB2312"/>
          <w:sz w:val="32"/>
          <w:szCs w:val="32"/>
          <w:lang w:eastAsia="zh-CN"/>
        </w:rPr>
        <w:t>姑苏区</w:t>
      </w:r>
      <w:r>
        <w:rPr>
          <w:rFonts w:hint="eastAsia" w:ascii="仿宋_GB2312" w:eastAsia="仿宋_GB2312"/>
          <w:sz w:val="32"/>
          <w:szCs w:val="32"/>
        </w:rPr>
        <w:t>统计执法检查工作在</w:t>
      </w:r>
      <w:r>
        <w:rPr>
          <w:rFonts w:hint="eastAsia" w:ascii="仿宋_GB2312" w:eastAsia="仿宋_GB2312"/>
          <w:sz w:val="32"/>
          <w:szCs w:val="32"/>
          <w:lang w:eastAsia="zh-CN"/>
        </w:rPr>
        <w:t>区</w:t>
      </w:r>
      <w:r>
        <w:rPr>
          <w:rFonts w:hint="eastAsia" w:ascii="仿宋_GB2312" w:eastAsia="仿宋_GB2312"/>
          <w:sz w:val="32"/>
          <w:szCs w:val="32"/>
        </w:rPr>
        <w:t>统计局党组领导下，由</w:t>
      </w:r>
      <w:r>
        <w:rPr>
          <w:rFonts w:hint="eastAsia" w:ascii="仿宋_GB2312" w:eastAsia="仿宋_GB2312"/>
          <w:sz w:val="32"/>
          <w:szCs w:val="32"/>
          <w:lang w:eastAsia="zh-CN"/>
        </w:rPr>
        <w:t>法治专业</w:t>
      </w:r>
      <w:r>
        <w:rPr>
          <w:rFonts w:hint="eastAsia" w:ascii="仿宋_GB2312" w:eastAsia="仿宋_GB2312"/>
          <w:sz w:val="32"/>
          <w:szCs w:val="32"/>
        </w:rPr>
        <w:t>负责制定方案、统筹推进和牵头实施，各</w:t>
      </w:r>
      <w:r>
        <w:rPr>
          <w:rFonts w:hint="eastAsia" w:ascii="仿宋_GB2312" w:eastAsia="仿宋_GB2312"/>
          <w:sz w:val="32"/>
          <w:szCs w:val="32"/>
          <w:lang w:eastAsia="zh-CN"/>
        </w:rPr>
        <w:t>业务专业</w:t>
      </w:r>
      <w:r>
        <w:rPr>
          <w:rFonts w:hint="eastAsia" w:ascii="仿宋_GB2312" w:eastAsia="仿宋_GB2312"/>
          <w:sz w:val="32"/>
          <w:szCs w:val="32"/>
        </w:rPr>
        <w:t>根据工作职责通力配合，执法全过程接受派驻纪检组监督。</w:t>
      </w:r>
    </w:p>
    <w:p w14:paraId="291208D1">
      <w:pPr>
        <w:keepNext w:val="0"/>
        <w:keepLines w:val="0"/>
        <w:pageBreakBefore w:val="0"/>
        <w:widowControl w:val="0"/>
        <w:kinsoku/>
        <w:wordWrap/>
        <w:overflowPunct/>
        <w:topLinePunct w:val="0"/>
        <w:autoSpaceDE/>
        <w:autoSpaceDN/>
        <w:bidi w:val="0"/>
        <w:adjustRightInd/>
        <w:snapToGrid w:val="0"/>
        <w:spacing w:after="0" w:line="560" w:lineRule="exact"/>
        <w:ind w:firstLine="640" w:firstLineChars="200"/>
        <w:jc w:val="both"/>
        <w:textAlignment w:val="auto"/>
        <w:rPr>
          <w:rFonts w:hint="eastAsia" w:ascii="仿宋_GB2312" w:eastAsia="仿宋_GB2312"/>
          <w:sz w:val="32"/>
          <w:szCs w:val="32"/>
        </w:rPr>
      </w:pPr>
      <w:r>
        <w:rPr>
          <w:rFonts w:hint="eastAsia" w:ascii="楷体_GB2312" w:eastAsia="楷体_GB2312"/>
          <w:sz w:val="32"/>
          <w:szCs w:val="32"/>
        </w:rPr>
        <w:t>（二）文明规范执法。</w:t>
      </w:r>
      <w:r>
        <w:rPr>
          <w:rFonts w:hint="eastAsia" w:ascii="仿宋_GB2312" w:eastAsia="仿宋_GB2312"/>
          <w:sz w:val="32"/>
          <w:szCs w:val="32"/>
        </w:rPr>
        <w:t>紧密结合当前统计行政执法突出问题专项整治行动，严格执行统计行政执法“三项制度”，</w:t>
      </w:r>
      <w:r>
        <w:rPr>
          <w:rFonts w:hint="eastAsia" w:ascii="仿宋_GB2312" w:hAnsi="仿宋_GB2312" w:eastAsia="仿宋_GB2312" w:cs="仿宋_GB2312"/>
          <w:sz w:val="32"/>
          <w:szCs w:val="32"/>
          <w:lang w:val="en-US" w:eastAsia="zh-CN"/>
        </w:rPr>
        <w:t>依据</w:t>
      </w:r>
      <w:r>
        <w:rPr>
          <w:rFonts w:hint="eastAsia" w:ascii="仿宋_GB2312" w:hAnsi="仿宋_GB2312" w:eastAsia="仿宋_GB2312" w:cs="仿宋_GB2312"/>
          <w:sz w:val="32"/>
          <w:szCs w:val="32"/>
          <w:lang w:eastAsia="zh-CN"/>
        </w:rPr>
        <w:t>《苏州市统计行政执法现场规范指引》《苏州市统计行政执法案卷制作及评查规范》，规范公正文明执法。</w:t>
      </w:r>
      <w:r>
        <w:rPr>
          <w:rFonts w:hint="eastAsia" w:ascii="仿宋_GB2312" w:eastAsia="仿宋_GB2312"/>
          <w:sz w:val="32"/>
          <w:szCs w:val="32"/>
        </w:rPr>
        <w:t>检查中应当坚持实事求是、客观公正、统一规范、文明执法、高效廉洁原则，依规依纪依法开展执法检查工作，规范制作执法文书，严格履行检查通知、现场检查、行政处罚等各环节程序。</w:t>
      </w:r>
    </w:p>
    <w:p w14:paraId="183AE35F">
      <w:pPr>
        <w:keepNext w:val="0"/>
        <w:keepLines w:val="0"/>
        <w:pageBreakBefore w:val="0"/>
        <w:widowControl w:val="0"/>
        <w:kinsoku/>
        <w:wordWrap/>
        <w:overflowPunct/>
        <w:topLinePunct w:val="0"/>
        <w:autoSpaceDE/>
        <w:autoSpaceDN/>
        <w:bidi w:val="0"/>
        <w:adjustRightInd/>
        <w:snapToGrid w:val="0"/>
        <w:spacing w:after="0" w:line="560" w:lineRule="exact"/>
        <w:ind w:firstLine="640" w:firstLineChars="200"/>
        <w:jc w:val="both"/>
        <w:textAlignment w:val="auto"/>
        <w:rPr>
          <w:rFonts w:hint="eastAsia" w:ascii="仿宋_GB2312" w:eastAsia="仿宋_GB2312"/>
          <w:sz w:val="32"/>
          <w:szCs w:val="32"/>
        </w:rPr>
      </w:pPr>
      <w:r>
        <w:rPr>
          <w:rFonts w:hint="eastAsia" w:ascii="楷体_GB2312" w:eastAsia="楷体_GB2312"/>
          <w:sz w:val="32"/>
          <w:szCs w:val="32"/>
        </w:rPr>
        <w:t>（三）严肃追责问责。</w:t>
      </w:r>
      <w:r>
        <w:rPr>
          <w:rFonts w:hint="eastAsia" w:ascii="仿宋_GB2312" w:eastAsia="仿宋_GB2312"/>
          <w:sz w:val="32"/>
          <w:szCs w:val="32"/>
        </w:rPr>
        <w:t>要加强与纪检监察机关、组织人事部门的沟通协调，有关责任人涉嫌违纪违法的，应当按照有关规定提出处分处理建议，并将案件材料和处分处理建议移送具有管辖权的任免机关或者纪检监察机关、组织人事部门。</w:t>
      </w:r>
    </w:p>
    <w:p w14:paraId="52C3F8DF">
      <w:pPr>
        <w:keepNext w:val="0"/>
        <w:keepLines w:val="0"/>
        <w:pageBreakBefore w:val="0"/>
        <w:widowControl w:val="0"/>
        <w:kinsoku/>
        <w:wordWrap/>
        <w:overflowPunct/>
        <w:topLinePunct w:val="0"/>
        <w:autoSpaceDE/>
        <w:autoSpaceDN/>
        <w:bidi w:val="0"/>
        <w:adjustRightInd/>
        <w:snapToGrid w:val="0"/>
        <w:spacing w:after="0" w:line="560" w:lineRule="exact"/>
        <w:ind w:firstLine="640" w:firstLineChars="200"/>
        <w:jc w:val="both"/>
        <w:textAlignment w:val="auto"/>
        <w:rPr>
          <w:rFonts w:hint="eastAsia" w:ascii="仿宋_GB2312" w:eastAsia="仿宋_GB2312"/>
          <w:sz w:val="32"/>
          <w:szCs w:val="32"/>
        </w:rPr>
      </w:pPr>
      <w:r>
        <w:rPr>
          <w:rFonts w:hint="eastAsia" w:ascii="楷体_GB2312" w:eastAsia="楷体_GB2312"/>
          <w:sz w:val="32"/>
          <w:szCs w:val="32"/>
        </w:rPr>
        <w:t>（四）强化警示教育。</w:t>
      </w:r>
      <w:r>
        <w:rPr>
          <w:rFonts w:hint="eastAsia" w:ascii="仿宋_GB2312" w:hAnsi="仿宋_GB2312" w:eastAsia="仿宋_GB2312" w:cs="仿宋_GB2312"/>
          <w:sz w:val="32"/>
          <w:szCs w:val="32"/>
          <w:lang w:val="en-US" w:eastAsia="zh-CN"/>
        </w:rPr>
        <w:t>严格落实</w:t>
      </w:r>
      <w:r>
        <w:rPr>
          <w:rFonts w:hint="eastAsia" w:ascii="仿宋_GB2312" w:hAnsi="仿宋_GB2312" w:eastAsia="仿宋_GB2312" w:cs="仿宋_GB2312"/>
          <w:sz w:val="32"/>
          <w:szCs w:val="32"/>
        </w:rPr>
        <w:t>《苏州市统计局统计违纪违法案件通报制度</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加大典型统计违纪违法案件通报曝光力度</w:t>
      </w:r>
      <w:r>
        <w:rPr>
          <w:rFonts w:hint="eastAsia" w:ascii="仿宋_GB2312" w:eastAsia="仿宋_GB2312"/>
          <w:sz w:val="32"/>
          <w:szCs w:val="32"/>
        </w:rPr>
        <w:t>，切实发挥警示教育作用。要结合执法工作，有针对性地开展统计领域党内法规和法律法规的宣传教育活动，凝聚依法统计依法治统的思想共识和行动合力。</w:t>
      </w:r>
    </w:p>
    <w:p w14:paraId="0D3689DC">
      <w:pPr>
        <w:keepNext w:val="0"/>
        <w:keepLines w:val="0"/>
        <w:pageBreakBefore w:val="0"/>
        <w:kinsoku/>
        <w:wordWrap/>
        <w:overflowPunct/>
        <w:topLinePunct w:val="0"/>
        <w:autoSpaceDE/>
        <w:autoSpaceDN/>
        <w:bidi w:val="0"/>
        <w:snapToGrid w:val="0"/>
        <w:spacing w:line="560" w:lineRule="exact"/>
        <w:ind w:firstLine="420" w:firstLineChars="200"/>
        <w:jc w:val="both"/>
        <w:textAlignment w:val="auto"/>
      </w:pPr>
    </w:p>
    <w:p w14:paraId="1EDC0A36"/>
    <w:p w14:paraId="4E015338">
      <w:pPr>
        <w:bidi w:val="0"/>
        <w:rPr>
          <w:rFonts w:hint="eastAsia"/>
          <w:lang w:val="en-US" w:eastAsia="zh-CN"/>
        </w:rPr>
      </w:pPr>
    </w:p>
    <w:p w14:paraId="00F31A70">
      <w:pPr>
        <w:keepNext w:val="0"/>
        <w:keepLines w:val="0"/>
        <w:pageBreakBefore w:val="0"/>
        <w:widowControl w:val="0"/>
        <w:kinsoku/>
        <w:wordWrap/>
        <w:overflowPunct w:val="0"/>
        <w:topLinePunct w:val="0"/>
        <w:autoSpaceDE/>
        <w:autoSpaceDN/>
        <w:bidi w:val="0"/>
        <w:adjustRightInd/>
        <w:snapToGrid/>
        <w:spacing w:after="0" w:line="560" w:lineRule="exact"/>
        <w:ind w:left="0" w:firstLine="5440" w:firstLineChars="1700"/>
        <w:jc w:val="both"/>
        <w:textAlignment w:val="auto"/>
        <w:rPr>
          <w:rFonts w:hint="default" w:ascii="Times New Roman" w:hAnsi="Times New Roman" w:eastAsia="仿宋_GB2312" w:cs="Times New Roman"/>
          <w:color w:val="000000"/>
          <w:kern w:val="0"/>
          <w:sz w:val="32"/>
          <w:szCs w:val="32"/>
          <w:lang w:val="en-US" w:eastAsia="zh-CN"/>
        </w:rPr>
      </w:pPr>
      <w:r>
        <w:rPr>
          <w:rFonts w:hint="default" w:ascii="Times New Roman" w:hAnsi="Times New Roman" w:eastAsia="仿宋_GB2312" w:cs="Times New Roman"/>
          <w:color w:val="000000"/>
          <w:kern w:val="0"/>
          <w:sz w:val="32"/>
          <w:szCs w:val="32"/>
          <w:lang w:val="en-US" w:eastAsia="zh-CN"/>
        </w:rPr>
        <w:t>姑苏区统计局</w:t>
      </w:r>
    </w:p>
    <w:p w14:paraId="05A9E274">
      <w:pPr>
        <w:pStyle w:val="6"/>
        <w:keepNext w:val="0"/>
        <w:keepLines w:val="0"/>
        <w:pageBreakBefore w:val="0"/>
        <w:kinsoku/>
        <w:wordWrap/>
        <w:topLinePunct w:val="0"/>
        <w:autoSpaceDE/>
        <w:autoSpaceDN/>
        <w:bidi w:val="0"/>
        <w:spacing w:line="560" w:lineRule="exact"/>
        <w:ind w:firstLine="5120" w:firstLineChars="1600"/>
        <w:textAlignment w:val="auto"/>
        <w:rPr>
          <w:rFonts w:hint="default"/>
          <w:lang w:val="en-US" w:eastAsia="zh-CN"/>
        </w:rPr>
      </w:pPr>
      <w:r>
        <w:rPr>
          <w:rFonts w:hint="default" w:ascii="Times New Roman" w:hAnsi="Times New Roman" w:eastAsia="仿宋_GB2312" w:cs="Times New Roman"/>
          <w:color w:val="000000"/>
          <w:kern w:val="0"/>
          <w:sz w:val="32"/>
          <w:szCs w:val="32"/>
          <w:lang w:val="en-US" w:eastAsia="zh-CN"/>
        </w:rPr>
        <w:t>202</w:t>
      </w:r>
      <w:r>
        <w:rPr>
          <w:rFonts w:hint="eastAsia" w:ascii="Times New Roman" w:hAnsi="Times New Roman" w:eastAsia="仿宋_GB2312" w:cs="Times New Roman"/>
          <w:color w:val="000000"/>
          <w:kern w:val="0"/>
          <w:sz w:val="32"/>
          <w:szCs w:val="32"/>
          <w:lang w:val="en-US" w:eastAsia="zh-CN"/>
        </w:rPr>
        <w:t>6</w:t>
      </w:r>
      <w:r>
        <w:rPr>
          <w:rFonts w:hint="default" w:ascii="Times New Roman" w:hAnsi="Times New Roman" w:eastAsia="仿宋_GB2312" w:cs="Times New Roman"/>
          <w:color w:val="000000"/>
          <w:kern w:val="0"/>
          <w:sz w:val="32"/>
          <w:szCs w:val="32"/>
          <w:lang w:val="en-US" w:eastAsia="zh-CN"/>
        </w:rPr>
        <w:t>年</w:t>
      </w:r>
      <w:r>
        <w:rPr>
          <w:rFonts w:hint="eastAsia" w:ascii="Times New Roman" w:hAnsi="Times New Roman" w:eastAsia="仿宋_GB2312" w:cs="Times New Roman"/>
          <w:color w:val="000000"/>
          <w:kern w:val="0"/>
          <w:sz w:val="32"/>
          <w:szCs w:val="32"/>
          <w:lang w:val="en-US" w:eastAsia="zh-CN"/>
        </w:rPr>
        <w:t>3</w:t>
      </w:r>
      <w:r>
        <w:rPr>
          <w:rFonts w:hint="default" w:ascii="Times New Roman" w:hAnsi="Times New Roman" w:eastAsia="仿宋_GB2312" w:cs="Times New Roman"/>
          <w:color w:val="000000"/>
          <w:kern w:val="0"/>
          <w:sz w:val="32"/>
          <w:szCs w:val="32"/>
          <w:lang w:val="en-US" w:eastAsia="zh-CN"/>
        </w:rPr>
        <w:t>月</w:t>
      </w:r>
      <w:r>
        <w:rPr>
          <w:rFonts w:hint="eastAsia" w:ascii="Times New Roman" w:hAnsi="Times New Roman" w:eastAsia="仿宋_GB2312" w:cs="Times New Roman"/>
          <w:color w:val="000000"/>
          <w:kern w:val="0"/>
          <w:sz w:val="32"/>
          <w:szCs w:val="32"/>
          <w:lang w:val="en-US" w:eastAsia="zh-CN"/>
        </w:rPr>
        <w:t>20</w:t>
      </w:r>
      <w:r>
        <w:rPr>
          <w:rFonts w:hint="default" w:ascii="Times New Roman" w:hAnsi="Times New Roman" w:eastAsia="仿宋_GB2312" w:cs="Times New Roman"/>
          <w:color w:val="000000"/>
          <w:kern w:val="0"/>
          <w:sz w:val="32"/>
          <w:szCs w:val="32"/>
          <w:lang w:val="en-US" w:eastAsia="zh-CN"/>
        </w:rPr>
        <w:t>日</w:t>
      </w:r>
    </w:p>
    <w:p w14:paraId="04E15943">
      <w:pPr>
        <w:tabs>
          <w:tab w:val="left" w:pos="879"/>
        </w:tabs>
        <w:bidi w:val="0"/>
        <w:jc w:val="left"/>
        <w:rPr>
          <w:rFonts w:hint="eastAsia"/>
          <w:lang w:val="en-US" w:eastAsia="zh-CN"/>
        </w:rPr>
      </w:pPr>
    </w:p>
    <w:sectPr>
      <w:footerReference r:id="rId3" w:type="default"/>
      <w:pgSz w:w="11906" w:h="16838"/>
      <w:pgMar w:top="2098" w:right="1474" w:bottom="1984" w:left="1587"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8"/>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粗宋简体">
    <w:altName w:val="宋体"/>
    <w:panose1 w:val="03000509000000000000"/>
    <w:charset w:val="86"/>
    <w:family w:val="script"/>
    <w:pitch w:val="default"/>
    <w:sig w:usb0="00000000" w:usb1="0000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4B4121">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B08B40E">
                          <w:pPr>
                            <w:pStyle w:val="4"/>
                            <w:rPr>
                              <w:rFonts w:hint="default" w:ascii="Times New Roman" w:hAnsi="Times New Roman" w:cs="Times New Roman" w:eastAsiaTheme="minorEastAsia"/>
                              <w:lang w:eastAsia="zh-CN"/>
                            </w:rPr>
                          </w:pPr>
                          <w:r>
                            <w:rPr>
                              <w:rFonts w:hint="default" w:ascii="Times New Roman" w:hAnsi="Times New Roman" w:eastAsia="宋体" w:cs="Times New Roman"/>
                              <w:sz w:val="28"/>
                              <w:szCs w:val="28"/>
                              <w:lang w:eastAsia="zh-CN"/>
                            </w:rPr>
                            <w:fldChar w:fldCharType="begin"/>
                          </w:r>
                          <w:r>
                            <w:rPr>
                              <w:rFonts w:hint="default" w:ascii="Times New Roman" w:hAnsi="Times New Roman" w:eastAsia="宋体" w:cs="Times New Roman"/>
                              <w:sz w:val="28"/>
                              <w:szCs w:val="28"/>
                              <w:lang w:eastAsia="zh-CN"/>
                            </w:rPr>
                            <w:instrText xml:space="preserve"> PAGE  \* MERGEFORMAT </w:instrText>
                          </w:r>
                          <w:r>
                            <w:rPr>
                              <w:rFonts w:hint="default" w:ascii="Times New Roman" w:hAnsi="Times New Roman" w:eastAsia="宋体" w:cs="Times New Roman"/>
                              <w:sz w:val="28"/>
                              <w:szCs w:val="28"/>
                              <w:lang w:eastAsia="zh-CN"/>
                            </w:rPr>
                            <w:fldChar w:fldCharType="separate"/>
                          </w:r>
                          <w:r>
                            <w:rPr>
                              <w:rFonts w:hint="default" w:ascii="Times New Roman" w:hAnsi="Times New Roman" w:eastAsia="宋体" w:cs="Times New Roman"/>
                              <w:sz w:val="28"/>
                              <w:szCs w:val="28"/>
                              <w:lang w:eastAsia="zh-CN"/>
                            </w:rPr>
                            <w:t>1</w:t>
                          </w:r>
                          <w:r>
                            <w:rPr>
                              <w:rFonts w:hint="default" w:ascii="Times New Roman" w:hAnsi="Times New Roman" w:eastAsia="宋体" w:cs="Times New Roman"/>
                              <w:sz w:val="28"/>
                              <w:szCs w:val="28"/>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1B08B40E">
                    <w:pPr>
                      <w:pStyle w:val="4"/>
                      <w:rPr>
                        <w:rFonts w:hint="default" w:ascii="Times New Roman" w:hAnsi="Times New Roman" w:cs="Times New Roman" w:eastAsiaTheme="minorEastAsia"/>
                        <w:lang w:eastAsia="zh-CN"/>
                      </w:rPr>
                    </w:pPr>
                    <w:r>
                      <w:rPr>
                        <w:rFonts w:hint="default" w:ascii="Times New Roman" w:hAnsi="Times New Roman" w:eastAsia="宋体" w:cs="Times New Roman"/>
                        <w:sz w:val="28"/>
                        <w:szCs w:val="28"/>
                        <w:lang w:eastAsia="zh-CN"/>
                      </w:rPr>
                      <w:fldChar w:fldCharType="begin"/>
                    </w:r>
                    <w:r>
                      <w:rPr>
                        <w:rFonts w:hint="default" w:ascii="Times New Roman" w:hAnsi="Times New Roman" w:eastAsia="宋体" w:cs="Times New Roman"/>
                        <w:sz w:val="28"/>
                        <w:szCs w:val="28"/>
                        <w:lang w:eastAsia="zh-CN"/>
                      </w:rPr>
                      <w:instrText xml:space="preserve"> PAGE  \* MERGEFORMAT </w:instrText>
                    </w:r>
                    <w:r>
                      <w:rPr>
                        <w:rFonts w:hint="default" w:ascii="Times New Roman" w:hAnsi="Times New Roman" w:eastAsia="宋体" w:cs="Times New Roman"/>
                        <w:sz w:val="28"/>
                        <w:szCs w:val="28"/>
                        <w:lang w:eastAsia="zh-CN"/>
                      </w:rPr>
                      <w:fldChar w:fldCharType="separate"/>
                    </w:r>
                    <w:r>
                      <w:rPr>
                        <w:rFonts w:hint="default" w:ascii="Times New Roman" w:hAnsi="Times New Roman" w:eastAsia="宋体" w:cs="Times New Roman"/>
                        <w:sz w:val="28"/>
                        <w:szCs w:val="28"/>
                        <w:lang w:eastAsia="zh-CN"/>
                      </w:rPr>
                      <w:t>1</w:t>
                    </w:r>
                    <w:r>
                      <w:rPr>
                        <w:rFonts w:hint="default" w:ascii="Times New Roman" w:hAnsi="Times New Roman" w:eastAsia="宋体" w:cs="Times New Roman"/>
                        <w:sz w:val="28"/>
                        <w:szCs w:val="28"/>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7CD9"/>
    <w:rsid w:val="000F7530"/>
    <w:rsid w:val="0010627E"/>
    <w:rsid w:val="00112AF7"/>
    <w:rsid w:val="00183317"/>
    <w:rsid w:val="002731A0"/>
    <w:rsid w:val="002D77C7"/>
    <w:rsid w:val="003B0EBF"/>
    <w:rsid w:val="00460E65"/>
    <w:rsid w:val="004D015F"/>
    <w:rsid w:val="00511D1F"/>
    <w:rsid w:val="00647B83"/>
    <w:rsid w:val="006B4FB8"/>
    <w:rsid w:val="006B54BC"/>
    <w:rsid w:val="00757CD9"/>
    <w:rsid w:val="008341AE"/>
    <w:rsid w:val="00837C7A"/>
    <w:rsid w:val="008C207A"/>
    <w:rsid w:val="008E0737"/>
    <w:rsid w:val="00961C00"/>
    <w:rsid w:val="00965840"/>
    <w:rsid w:val="00BA7679"/>
    <w:rsid w:val="00DE0672"/>
    <w:rsid w:val="00E574F9"/>
    <w:rsid w:val="00E57A38"/>
    <w:rsid w:val="00E826C9"/>
    <w:rsid w:val="00EA5882"/>
    <w:rsid w:val="00EF3869"/>
    <w:rsid w:val="00EF4550"/>
    <w:rsid w:val="07187D4D"/>
    <w:rsid w:val="09C57851"/>
    <w:rsid w:val="0C6A576F"/>
    <w:rsid w:val="193A272B"/>
    <w:rsid w:val="1CB03699"/>
    <w:rsid w:val="1D711C42"/>
    <w:rsid w:val="22CD466E"/>
    <w:rsid w:val="27820481"/>
    <w:rsid w:val="278D7A8B"/>
    <w:rsid w:val="2D8C2771"/>
    <w:rsid w:val="2E6F6AB0"/>
    <w:rsid w:val="36816121"/>
    <w:rsid w:val="3BD30B6C"/>
    <w:rsid w:val="3C1D6073"/>
    <w:rsid w:val="3D6649CD"/>
    <w:rsid w:val="42944CBD"/>
    <w:rsid w:val="43070A20"/>
    <w:rsid w:val="454B30F9"/>
    <w:rsid w:val="4C322A19"/>
    <w:rsid w:val="4C4E134C"/>
    <w:rsid w:val="4CA320A4"/>
    <w:rsid w:val="53B05F32"/>
    <w:rsid w:val="5447288A"/>
    <w:rsid w:val="5F9D21C6"/>
    <w:rsid w:val="682C162C"/>
    <w:rsid w:val="6AB97D76"/>
    <w:rsid w:val="6D462D75"/>
    <w:rsid w:val="703B1475"/>
    <w:rsid w:val="74262C2F"/>
    <w:rsid w:val="78E310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9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qFormat="1" w:unhideWhenUsed="0" w:uiPriority="0" w:semiHidden="0"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iPriority="5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3"/>
    <w:basedOn w:val="1"/>
    <w:next w:val="1"/>
    <w:qFormat/>
    <w:uiPriority w:val="99"/>
    <w:pPr>
      <w:keepNext/>
      <w:keepLines/>
      <w:ind w:firstLine="0" w:firstLineChars="0"/>
      <w:jc w:val="center"/>
      <w:outlineLvl w:val="2"/>
    </w:pPr>
    <w:rPr>
      <w:b/>
      <w:bCs/>
      <w:color w:val="000000"/>
      <w:kern w:val="0"/>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Note Heading"/>
    <w:basedOn w:val="1"/>
    <w:next w:val="1"/>
    <w:qFormat/>
    <w:uiPriority w:val="0"/>
    <w:pPr>
      <w:jc w:val="center"/>
    </w:pPr>
    <w:rPr>
      <w:rFonts w:ascii="Calibri" w:hAnsi="Calibri" w:eastAsia="宋体" w:cs="Times New Roman"/>
    </w:rPr>
  </w:style>
  <w:style w:type="paragraph" w:styleId="4">
    <w:name w:val="footer"/>
    <w:basedOn w:val="1"/>
    <w:unhideWhenUsed/>
    <w:qFormat/>
    <w:uiPriority w:val="99"/>
    <w:pPr>
      <w:tabs>
        <w:tab w:val="center" w:pos="4153"/>
        <w:tab w:val="right" w:pos="8306"/>
      </w:tabs>
      <w:snapToGrid w:val="0"/>
      <w:jc w:val="left"/>
    </w:pPr>
    <w:rPr>
      <w:sz w:val="18"/>
      <w:szCs w:val="18"/>
    </w:rPr>
  </w:style>
  <w:style w:type="paragraph" w:styleId="5">
    <w:name w:val="header"/>
    <w:basedOn w:val="1"/>
    <w:semiHidden/>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toc 1"/>
    <w:basedOn w:val="1"/>
    <w:next w:val="1"/>
    <w:qFormat/>
    <w:uiPriority w:val="0"/>
    <w:rPr>
      <w:szCs w:val="21"/>
    </w:rPr>
  </w:style>
  <w:style w:type="paragraph" w:styleId="7">
    <w:name w:val="Normal (Web)"/>
    <w:basedOn w:val="1"/>
    <w:qFormat/>
    <w:uiPriority w:val="0"/>
    <w:pPr>
      <w:spacing w:beforeAutospacing="1" w:afterAutospacing="1"/>
      <w:jc w:val="left"/>
    </w:pPr>
    <w:rPr>
      <w:rFonts w:cs="Times New Roman"/>
      <w:kern w:val="0"/>
      <w:sz w:val="24"/>
      <w:szCs w:val="24"/>
    </w:rPr>
  </w:style>
  <w:style w:type="character" w:customStyle="1" w:styleId="10">
    <w:name w:val="font51"/>
    <w:basedOn w:val="9"/>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P R C</Company>
  <Pages>4</Pages>
  <Words>2286</Words>
  <Characters>2303</Characters>
  <Lines>2</Lines>
  <Paragraphs>1</Paragraphs>
  <TotalTime>0</TotalTime>
  <ScaleCrop>false</ScaleCrop>
  <LinksUpToDate>false</LinksUpToDate>
  <CharactersWithSpaces>2303</CharactersWithSpaces>
  <Application>WPS Office_12.8.2.18913_F1E327BC-269C-435d-A152-05C5408002CA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2021-04-21T02:27:00Z</dcterms:created>
  <dc:creator>Windows User</dc:creator>
  <cp:lastModifiedBy>诸成俊</cp:lastModifiedBy>
  <cp:lastPrinted>2021-05-31T05:04:00Z</cp:lastPrinted>
  <dcterms:modified xsi:type="dcterms:W3CDTF">2026-03-20T03:11:22Z</dcterms:modified>
  <cp:revision>22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2052-12.8.2.18913</vt:lpwstr>
  </property>
  <property fmtid="{D5CDD505-2E9C-101B-9397-08002B2CF9AE}" pid="3" name="KSOTemplateDocerSaveRecord">
    <vt:lpwstr>eyJoZGlkIjoiN2M2YTJjMjZkMmFlZDI3Y2JhOTNmNDQ0ZjExNjc2NDUiLCJ1c2VySWQiOiIxNjUzNjQxNjQyIn0=</vt:lpwstr>
  </property>
  <property fmtid="{D5CDD505-2E9C-101B-9397-08002B2CF9AE}" pid="4" name="ICV">
    <vt:lpwstr>93A106BF83E249048C349816A26BDD6E_13</vt:lpwstr>
  </property>
</Properties>
</file>