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DA77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2026年苏州市姑苏区</w:t>
      </w:r>
      <w:r>
        <w:rPr>
          <w:rFonts w:hint="eastAsia" w:ascii="Times New Roman" w:hAnsi="Times New Roman" w:eastAsia="方正小标宋简体" w:cs="Times New Roman"/>
          <w:color w:val="000000"/>
          <w:sz w:val="44"/>
          <w:szCs w:val="44"/>
          <w:highlight w:val="none"/>
          <w:lang w:val="en-US" w:eastAsia="zh-CN"/>
        </w:rPr>
        <w:t>学生服</w:t>
      </w:r>
      <w:r>
        <w:rPr>
          <w:rFonts w:hint="default" w:ascii="Times New Roman" w:hAnsi="Times New Roman" w:eastAsia="方正小标宋简体" w:cs="Times New Roman"/>
          <w:color w:val="000000"/>
          <w:sz w:val="44"/>
          <w:szCs w:val="44"/>
          <w:highlight w:val="none"/>
          <w:lang w:val="en-US" w:eastAsia="zh-CN"/>
        </w:rPr>
        <w:t>产品质量监督抽查实施细则</w:t>
      </w:r>
    </w:p>
    <w:p w14:paraId="5E3A8A36">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p>
    <w:p w14:paraId="33DE204A">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1.范围</w:t>
      </w:r>
    </w:p>
    <w:p w14:paraId="25CAB8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本细则适用于苏州市姑苏区市场监督管理局组织的</w:t>
      </w:r>
      <w:r>
        <w:rPr>
          <w:rFonts w:hint="eastAsia" w:ascii="Times New Roman" w:hAnsi="Times New Roman" w:eastAsia="方正仿宋_GBK" w:cs="Times New Roman"/>
          <w:sz w:val="32"/>
          <w:szCs w:val="32"/>
          <w:highlight w:val="none"/>
          <w:lang w:val="en-US" w:eastAsia="zh-CN"/>
        </w:rPr>
        <w:t>学生服</w:t>
      </w:r>
      <w:r>
        <w:rPr>
          <w:rFonts w:hint="default" w:ascii="Times New Roman" w:hAnsi="Times New Roman" w:eastAsia="方正仿宋_GBK" w:cs="Times New Roman"/>
          <w:sz w:val="32"/>
          <w:szCs w:val="32"/>
          <w:highlight w:val="none"/>
          <w:lang w:val="en-US" w:eastAsia="zh-CN"/>
        </w:rPr>
        <w:t>产品质量监督抽查检验。本细则规定了此产品的抽样方法、检验依据、检验项目、检验方法、判定原则、异议处理及复检。</w:t>
      </w:r>
    </w:p>
    <w:p w14:paraId="1BC43BB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2.抽样方法</w:t>
      </w:r>
    </w:p>
    <w:p w14:paraId="09A4AC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2.1实体店抽样</w:t>
      </w:r>
    </w:p>
    <w:p w14:paraId="31718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 xml:space="preserve">3.检验依据 </w:t>
      </w:r>
    </w:p>
    <w:p w14:paraId="03728F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bookmarkStart w:id="0" w:name="_GoBack"/>
      <w:bookmarkEnd w:id="0"/>
      <w:r>
        <w:rPr>
          <w:rFonts w:hint="default" w:ascii="Times New Roman" w:hAnsi="Times New Roman" w:eastAsia="仿宋" w:cs="Times New Roman"/>
          <w:b w:val="0"/>
          <w:bCs/>
          <w:sz w:val="28"/>
          <w:szCs w:val="28"/>
          <w:highlight w:val="none"/>
          <w:lang w:val="en-US" w:eastAsia="zh-CN"/>
        </w:rPr>
        <w:t>表1 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233"/>
        <w:gridCol w:w="2450"/>
        <w:gridCol w:w="2635"/>
      </w:tblGrid>
      <w:tr w14:paraId="0530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12D0CC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233" w:type="dxa"/>
            <w:noWrap/>
            <w:vAlign w:val="center"/>
          </w:tcPr>
          <w:p w14:paraId="03FF90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2450" w:type="dxa"/>
            <w:noWrap/>
            <w:vAlign w:val="center"/>
          </w:tcPr>
          <w:p w14:paraId="793A87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635" w:type="dxa"/>
            <w:noWrap/>
            <w:vAlign w:val="center"/>
          </w:tcPr>
          <w:p w14:paraId="28E8D6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1EF5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53" w:type="dxa"/>
            <w:shd w:val="clear" w:color="auto" w:fill="auto"/>
            <w:noWrap/>
            <w:vAlign w:val="center"/>
          </w:tcPr>
          <w:p w14:paraId="3F345F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3233" w:type="dxa"/>
            <w:shd w:val="clear" w:color="auto" w:fill="auto"/>
            <w:noWrap/>
            <w:vAlign w:val="center"/>
          </w:tcPr>
          <w:p w14:paraId="70B627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甲醛含量</w:t>
            </w:r>
          </w:p>
        </w:tc>
        <w:tc>
          <w:tcPr>
            <w:tcW w:w="2450" w:type="dxa"/>
            <w:vMerge w:val="restart"/>
            <w:shd w:val="clear" w:color="auto" w:fill="auto"/>
            <w:noWrap/>
            <w:vAlign w:val="center"/>
          </w:tcPr>
          <w:p w14:paraId="5A5107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GB 31701-2015</w:t>
            </w:r>
          </w:p>
          <w:p w14:paraId="78B3EAA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相应产品标准</w:t>
            </w:r>
          </w:p>
          <w:p w14:paraId="1FABEA6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12472A5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2912.1-2009</w:t>
            </w:r>
          </w:p>
        </w:tc>
      </w:tr>
      <w:tr w14:paraId="6B32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266D0C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w:t>
            </w:r>
          </w:p>
        </w:tc>
        <w:tc>
          <w:tcPr>
            <w:tcW w:w="3233" w:type="dxa"/>
            <w:shd w:val="clear" w:color="auto" w:fill="auto"/>
            <w:noWrap/>
            <w:vAlign w:val="center"/>
          </w:tcPr>
          <w:p w14:paraId="6F0E04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pH值</w:t>
            </w:r>
          </w:p>
        </w:tc>
        <w:tc>
          <w:tcPr>
            <w:tcW w:w="2450" w:type="dxa"/>
            <w:vMerge w:val="continue"/>
            <w:tcBorders/>
            <w:noWrap/>
            <w:vAlign w:val="center"/>
          </w:tcPr>
          <w:p w14:paraId="1C178EA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503EF7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7573-2009</w:t>
            </w:r>
          </w:p>
        </w:tc>
      </w:tr>
      <w:tr w14:paraId="2A33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58AC26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w:t>
            </w:r>
          </w:p>
        </w:tc>
        <w:tc>
          <w:tcPr>
            <w:tcW w:w="3233" w:type="dxa"/>
            <w:shd w:val="clear" w:color="auto" w:fill="auto"/>
            <w:noWrap/>
            <w:vAlign w:val="center"/>
          </w:tcPr>
          <w:p w14:paraId="3903DA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可分解致癌芳香胺染料</w:t>
            </w:r>
          </w:p>
        </w:tc>
        <w:tc>
          <w:tcPr>
            <w:tcW w:w="2450" w:type="dxa"/>
            <w:vMerge w:val="continue"/>
            <w:tcBorders/>
            <w:noWrap/>
            <w:vAlign w:val="center"/>
          </w:tcPr>
          <w:p w14:paraId="7FCE09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199C5B4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GB/T 17592-2011</w:t>
            </w:r>
          </w:p>
          <w:p w14:paraId="6169330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23344-2009</w:t>
            </w:r>
          </w:p>
        </w:tc>
      </w:tr>
      <w:tr w14:paraId="6582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2049887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4</w:t>
            </w:r>
          </w:p>
        </w:tc>
        <w:tc>
          <w:tcPr>
            <w:tcW w:w="3233" w:type="dxa"/>
            <w:shd w:val="clear" w:color="auto" w:fill="auto"/>
            <w:noWrap/>
            <w:vAlign w:val="center"/>
          </w:tcPr>
          <w:p w14:paraId="4C6E80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耐洗色牢度</w:t>
            </w:r>
          </w:p>
        </w:tc>
        <w:tc>
          <w:tcPr>
            <w:tcW w:w="2450" w:type="dxa"/>
            <w:vMerge w:val="continue"/>
            <w:tcBorders/>
            <w:noWrap/>
            <w:vAlign w:val="center"/>
          </w:tcPr>
          <w:p w14:paraId="33611F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2FAA9D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3921-2008</w:t>
            </w:r>
          </w:p>
        </w:tc>
      </w:tr>
      <w:tr w14:paraId="2E41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1F8DBE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5</w:t>
            </w:r>
          </w:p>
        </w:tc>
        <w:tc>
          <w:tcPr>
            <w:tcW w:w="3233" w:type="dxa"/>
            <w:shd w:val="clear" w:color="auto" w:fill="auto"/>
            <w:noWrap/>
            <w:vAlign w:val="center"/>
          </w:tcPr>
          <w:p w14:paraId="2C85791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耐水色牢度</w:t>
            </w:r>
          </w:p>
        </w:tc>
        <w:tc>
          <w:tcPr>
            <w:tcW w:w="2450" w:type="dxa"/>
            <w:vMerge w:val="continue"/>
            <w:tcBorders/>
            <w:noWrap/>
            <w:vAlign w:val="center"/>
          </w:tcPr>
          <w:p w14:paraId="5DD3A0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3E488E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5713-2013</w:t>
            </w:r>
          </w:p>
        </w:tc>
      </w:tr>
      <w:tr w14:paraId="500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6FBCDBB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6</w:t>
            </w:r>
          </w:p>
        </w:tc>
        <w:tc>
          <w:tcPr>
            <w:tcW w:w="3233" w:type="dxa"/>
            <w:shd w:val="clear" w:color="auto" w:fill="auto"/>
            <w:noWrap/>
            <w:vAlign w:val="center"/>
          </w:tcPr>
          <w:p w14:paraId="3B3B6A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耐酸汗渍色牢度</w:t>
            </w:r>
          </w:p>
        </w:tc>
        <w:tc>
          <w:tcPr>
            <w:tcW w:w="2450" w:type="dxa"/>
            <w:vMerge w:val="continue"/>
            <w:tcBorders/>
            <w:noWrap/>
            <w:vAlign w:val="center"/>
          </w:tcPr>
          <w:p w14:paraId="30A80F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3BF2F5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3922-2013</w:t>
            </w:r>
          </w:p>
        </w:tc>
      </w:tr>
      <w:tr w14:paraId="7436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658164C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7</w:t>
            </w:r>
          </w:p>
        </w:tc>
        <w:tc>
          <w:tcPr>
            <w:tcW w:w="3233" w:type="dxa"/>
            <w:shd w:val="clear" w:color="auto" w:fill="auto"/>
            <w:noWrap/>
            <w:vAlign w:val="center"/>
          </w:tcPr>
          <w:p w14:paraId="50E79C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耐碱汗渍色牢度</w:t>
            </w:r>
          </w:p>
        </w:tc>
        <w:tc>
          <w:tcPr>
            <w:tcW w:w="2450" w:type="dxa"/>
            <w:vMerge w:val="continue"/>
            <w:tcBorders/>
            <w:noWrap/>
            <w:vAlign w:val="center"/>
          </w:tcPr>
          <w:p w14:paraId="16F697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659FBA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3922-2013</w:t>
            </w:r>
          </w:p>
        </w:tc>
      </w:tr>
      <w:tr w14:paraId="3CCE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461A39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8</w:t>
            </w:r>
          </w:p>
        </w:tc>
        <w:tc>
          <w:tcPr>
            <w:tcW w:w="3233" w:type="dxa"/>
            <w:shd w:val="clear" w:color="auto" w:fill="auto"/>
            <w:noWrap/>
            <w:vAlign w:val="center"/>
          </w:tcPr>
          <w:p w14:paraId="554A88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耐干摩擦色牢度</w:t>
            </w:r>
          </w:p>
        </w:tc>
        <w:tc>
          <w:tcPr>
            <w:tcW w:w="2450" w:type="dxa"/>
            <w:vMerge w:val="continue"/>
            <w:tcBorders/>
            <w:noWrap/>
            <w:vAlign w:val="center"/>
          </w:tcPr>
          <w:p w14:paraId="4D62536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7BD501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3920-2008</w:t>
            </w:r>
          </w:p>
        </w:tc>
      </w:tr>
      <w:tr w14:paraId="6EBA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0456584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9</w:t>
            </w:r>
          </w:p>
        </w:tc>
        <w:tc>
          <w:tcPr>
            <w:tcW w:w="3233" w:type="dxa"/>
            <w:shd w:val="clear" w:color="auto" w:fill="auto"/>
            <w:noWrap/>
            <w:vAlign w:val="center"/>
          </w:tcPr>
          <w:p w14:paraId="3C663D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kern w:val="2"/>
                <w:sz w:val="24"/>
                <w:szCs w:val="24"/>
                <w:highlight w:val="none"/>
                <w:lang w:val="en-US" w:eastAsia="zh-CN" w:bidi="ar-SA"/>
              </w:rPr>
              <w:t>耐湿摩擦色牢度</w:t>
            </w:r>
          </w:p>
        </w:tc>
        <w:tc>
          <w:tcPr>
            <w:tcW w:w="2450" w:type="dxa"/>
            <w:vMerge w:val="continue"/>
            <w:tcBorders/>
            <w:noWrap/>
            <w:vAlign w:val="center"/>
          </w:tcPr>
          <w:p w14:paraId="6732C0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2605F15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3920-2008</w:t>
            </w:r>
          </w:p>
        </w:tc>
      </w:tr>
      <w:tr w14:paraId="0325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0F4A29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12</w:t>
            </w:r>
          </w:p>
        </w:tc>
        <w:tc>
          <w:tcPr>
            <w:tcW w:w="3233" w:type="dxa"/>
            <w:shd w:val="clear" w:color="auto" w:fill="auto"/>
            <w:noWrap/>
            <w:vAlign w:val="center"/>
          </w:tcPr>
          <w:p w14:paraId="2D5A900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附件锐利性</w:t>
            </w:r>
          </w:p>
        </w:tc>
        <w:tc>
          <w:tcPr>
            <w:tcW w:w="2450" w:type="dxa"/>
            <w:vMerge w:val="continue"/>
            <w:tcBorders/>
            <w:noWrap/>
            <w:vAlign w:val="center"/>
          </w:tcPr>
          <w:p w14:paraId="0C29853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2FF574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31702-2015</w:t>
            </w:r>
          </w:p>
        </w:tc>
      </w:tr>
      <w:tr w14:paraId="0CB4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7098F1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15</w:t>
            </w:r>
          </w:p>
        </w:tc>
        <w:tc>
          <w:tcPr>
            <w:tcW w:w="3233" w:type="dxa"/>
            <w:shd w:val="clear" w:color="auto" w:fill="auto"/>
            <w:noWrap/>
            <w:vAlign w:val="center"/>
          </w:tcPr>
          <w:p w14:paraId="7D57B2D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金属针</w:t>
            </w:r>
          </w:p>
        </w:tc>
        <w:tc>
          <w:tcPr>
            <w:tcW w:w="2450" w:type="dxa"/>
            <w:vMerge w:val="continue"/>
            <w:tcBorders/>
            <w:noWrap/>
            <w:vAlign w:val="center"/>
          </w:tcPr>
          <w:p w14:paraId="16E24E9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75CB2E9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31701—2015</w:t>
            </w:r>
          </w:p>
        </w:tc>
      </w:tr>
      <w:tr w14:paraId="496B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6C5A65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16</w:t>
            </w:r>
          </w:p>
        </w:tc>
        <w:tc>
          <w:tcPr>
            <w:tcW w:w="3233" w:type="dxa"/>
            <w:shd w:val="clear" w:color="auto" w:fill="auto"/>
            <w:noWrap/>
            <w:vAlign w:val="center"/>
          </w:tcPr>
          <w:p w14:paraId="679D7C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绳带要求</w:t>
            </w:r>
          </w:p>
        </w:tc>
        <w:tc>
          <w:tcPr>
            <w:tcW w:w="2450" w:type="dxa"/>
            <w:vMerge w:val="continue"/>
            <w:tcBorders/>
            <w:noWrap/>
            <w:vAlign w:val="center"/>
          </w:tcPr>
          <w:p w14:paraId="4EC779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5E4914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31701-2015中4.4.3</w:t>
            </w:r>
          </w:p>
        </w:tc>
      </w:tr>
      <w:tr w14:paraId="1C5B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4083CE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17</w:t>
            </w:r>
          </w:p>
        </w:tc>
        <w:tc>
          <w:tcPr>
            <w:tcW w:w="3233" w:type="dxa"/>
            <w:shd w:val="clear" w:color="auto" w:fill="auto"/>
            <w:noWrap/>
            <w:vAlign w:val="center"/>
          </w:tcPr>
          <w:p w14:paraId="0A6AC1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纤维含量</w:t>
            </w:r>
          </w:p>
        </w:tc>
        <w:tc>
          <w:tcPr>
            <w:tcW w:w="2450" w:type="dxa"/>
            <w:shd w:val="clear" w:color="auto" w:fill="auto"/>
            <w:noWrap/>
            <w:vAlign w:val="center"/>
          </w:tcPr>
          <w:p w14:paraId="08B45E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GB/T 29862-2013</w:t>
            </w:r>
          </w:p>
          <w:p w14:paraId="3B742E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相应产品标准</w:t>
            </w:r>
          </w:p>
        </w:tc>
        <w:tc>
          <w:tcPr>
            <w:tcW w:w="2635" w:type="dxa"/>
            <w:shd w:val="clear" w:color="auto" w:fill="auto"/>
            <w:noWrap/>
            <w:vAlign w:val="center"/>
          </w:tcPr>
          <w:p w14:paraId="0DF897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FZ/T 01057系列</w:t>
            </w:r>
          </w:p>
          <w:p w14:paraId="0A3F28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GB/T 2910系列等</w:t>
            </w:r>
          </w:p>
        </w:tc>
      </w:tr>
      <w:tr w14:paraId="0442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244A1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18</w:t>
            </w:r>
          </w:p>
        </w:tc>
        <w:tc>
          <w:tcPr>
            <w:tcW w:w="3233" w:type="dxa"/>
            <w:shd w:val="clear" w:color="auto" w:fill="auto"/>
            <w:vAlign w:val="center"/>
          </w:tcPr>
          <w:p w14:paraId="120750A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絮用纤维原料要求</w:t>
            </w:r>
          </w:p>
        </w:tc>
        <w:tc>
          <w:tcPr>
            <w:tcW w:w="2450" w:type="dxa"/>
            <w:shd w:val="clear" w:color="auto" w:fill="auto"/>
            <w:vAlign w:val="center"/>
          </w:tcPr>
          <w:p w14:paraId="1B7A41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18383—2007</w:t>
            </w:r>
          </w:p>
        </w:tc>
        <w:tc>
          <w:tcPr>
            <w:tcW w:w="2635" w:type="dxa"/>
            <w:shd w:val="clear" w:color="auto" w:fill="auto"/>
            <w:vAlign w:val="center"/>
          </w:tcPr>
          <w:p w14:paraId="4732FB9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18383—2007</w:t>
            </w:r>
          </w:p>
        </w:tc>
      </w:tr>
      <w:tr w14:paraId="56CF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1" w:type="dxa"/>
            <w:gridSpan w:val="4"/>
            <w:shd w:val="clear" w:color="auto" w:fill="auto"/>
            <w:vAlign w:val="center"/>
          </w:tcPr>
          <w:p w14:paraId="1CB0DD40">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a.仅考核婴幼儿纺织产品；</w:t>
            </w:r>
          </w:p>
          <w:p w14:paraId="652CBEA2">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b.仅考核面料含有涂层和涂料印染的A类产品；</w:t>
            </w:r>
          </w:p>
          <w:p w14:paraId="5C2D464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c. 仅考核产品的外层面料;羊毛、腈纶、改性腈纶、锦纶、丙纶和聚酯纤维的纯纺织物，以及由这些纤维混纺的织物不考核；单位面积质量大于90g/m2的织物不考核。</w:t>
            </w:r>
          </w:p>
        </w:tc>
      </w:tr>
    </w:tbl>
    <w:p w14:paraId="7BDE9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检验方法包括相关产品标准及试验方法标准。</w:t>
      </w:r>
    </w:p>
    <w:p w14:paraId="6649F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4.判定规则</w:t>
      </w:r>
    </w:p>
    <w:p w14:paraId="46E9B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4.1依据标准</w:t>
      </w:r>
    </w:p>
    <w:p w14:paraId="5D943C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31701-2015 《婴幼儿及儿童纺织产品安全技术规范》</w:t>
      </w:r>
    </w:p>
    <w:p w14:paraId="5C1EC3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29862-2013《纺织品 纤维含量的标识》</w:t>
      </w:r>
    </w:p>
    <w:p w14:paraId="5AD905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2660-2017 《衬衫》</w:t>
      </w:r>
    </w:p>
    <w:p w14:paraId="5BEECD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22849-2024 《针织T恤衫》</w:t>
      </w:r>
    </w:p>
    <w:p w14:paraId="6D7887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31900-2015 《机织儿童服装》</w:t>
      </w:r>
    </w:p>
    <w:p w14:paraId="32805B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33271-2016 《机织婴幼儿服装》</w:t>
      </w:r>
    </w:p>
    <w:p w14:paraId="1F52C5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39508-2020 《针织婴幼儿及儿童服装》</w:t>
      </w:r>
    </w:p>
    <w:p w14:paraId="0A93E1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73005-2021 《低含毛混纺及仿毛针织品》</w:t>
      </w:r>
    </w:p>
    <w:p w14:paraId="37C7F4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73018-2021 《毛针织品》</w:t>
      </w:r>
    </w:p>
    <w:p w14:paraId="4DBF7C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73020-2019 《针织休闲服装》</w:t>
      </w:r>
    </w:p>
    <w:p w14:paraId="791847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73025-2019  《婴幼儿针织服饰》</w:t>
      </w:r>
    </w:p>
    <w:p w14:paraId="7C5FA0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73026-2014  《针织裙、裙套》</w:t>
      </w:r>
    </w:p>
    <w:p w14:paraId="72330E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73029-2019  《针织裤》</w:t>
      </w:r>
    </w:p>
    <w:p w14:paraId="30AFFA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73032-2017  《针织牛仔服装》</w:t>
      </w:r>
    </w:p>
    <w:p w14:paraId="679256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73043-2020  《针织衬衫》</w:t>
      </w:r>
    </w:p>
    <w:p w14:paraId="3A65BA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81004-2022  《连衣裙、裙套》</w:t>
      </w:r>
    </w:p>
    <w:p w14:paraId="5068AE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81006-2017  《牛仔服装》</w:t>
      </w:r>
    </w:p>
    <w:p w14:paraId="4083B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81007-2022  《单、夹服装》</w:t>
      </w:r>
    </w:p>
    <w:p w14:paraId="1028FB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相关的法律法规、部门规章和规范；</w:t>
      </w:r>
    </w:p>
    <w:p w14:paraId="2AC86E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现行有效的企业标准及产品明示质量要求</w:t>
      </w:r>
    </w:p>
    <w:p w14:paraId="5F1181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4.2判定原则</w:t>
      </w:r>
    </w:p>
    <w:p w14:paraId="15CDA5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经检验，检验项目全部合格，判定为被抽查产品所检项目未发现不合格；检验项目中任一项或一项以上不合格，判定为被抽查产品不合格。</w:t>
      </w:r>
    </w:p>
    <w:p w14:paraId="26D0A5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若被检产品明示的质量要求高于本细则中检验项目依据的标准要求时，应按被检产品明示的质量要求判定。</w:t>
      </w:r>
    </w:p>
    <w:p w14:paraId="106EF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若被检产品明示的质量要求低于本细则中检验项目依据的强制性标准要求时，应按照强制性标准要求判定。</w:t>
      </w:r>
    </w:p>
    <w:p w14:paraId="7263B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若被检产品明示的质量要求低于或包含本细则中检验项目依据的推荐性标准要求时，应以被检产品明示的质量要求判定，但应在检验报告备注中进行说明。</w:t>
      </w:r>
    </w:p>
    <w:p w14:paraId="6D94C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若被检产品明示的质量要求缺少本细则中检验项目依据的强制性标准要求时，应按照强制性标准要求判定。</w:t>
      </w:r>
    </w:p>
    <w:p w14:paraId="4AE1BD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5.异议处理</w:t>
      </w:r>
    </w:p>
    <w:p w14:paraId="5F79B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5.1对监督抽查程序有异议的，由任务下达部门核查相关证据后维持或者撤销原检验结果。</w:t>
      </w:r>
    </w:p>
    <w:p w14:paraId="4FF5E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5.3对样品信息有异议的，任务下达部门核查样品确认情况和生产企业提交证明材料后，维持或者撤销原检验结果。</w:t>
      </w:r>
    </w:p>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23EA3F-11AD-40AA-9D2D-F04BC6E9E6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9E528E65-841D-4C2C-9153-00B92B052F71}"/>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0495DD1B-52A5-4FA5-ACC9-5467DBA79B7E}"/>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ail">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embedRegular r:id="rId4" w:fontKey="{7F9A4DD9-68F6-49A1-86EC-925F283D239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C6640E"/>
    <w:rsid w:val="04CE7D2D"/>
    <w:rsid w:val="04E162DB"/>
    <w:rsid w:val="056836DC"/>
    <w:rsid w:val="056B55C9"/>
    <w:rsid w:val="057847EE"/>
    <w:rsid w:val="065C6843"/>
    <w:rsid w:val="06DA5E26"/>
    <w:rsid w:val="07103966"/>
    <w:rsid w:val="0806125E"/>
    <w:rsid w:val="08414162"/>
    <w:rsid w:val="088775AA"/>
    <w:rsid w:val="095538B5"/>
    <w:rsid w:val="0A0D1476"/>
    <w:rsid w:val="0A721AE4"/>
    <w:rsid w:val="0AB55C23"/>
    <w:rsid w:val="0B0D6838"/>
    <w:rsid w:val="0B7E733B"/>
    <w:rsid w:val="0BB258C6"/>
    <w:rsid w:val="0C300AF9"/>
    <w:rsid w:val="0DAF2700"/>
    <w:rsid w:val="0E916078"/>
    <w:rsid w:val="0EDD5800"/>
    <w:rsid w:val="10356DF2"/>
    <w:rsid w:val="106310A0"/>
    <w:rsid w:val="108D33E7"/>
    <w:rsid w:val="10EE044E"/>
    <w:rsid w:val="11A05BB5"/>
    <w:rsid w:val="11CA7BFF"/>
    <w:rsid w:val="12197CB0"/>
    <w:rsid w:val="121B5F5C"/>
    <w:rsid w:val="12480A15"/>
    <w:rsid w:val="12F93CA3"/>
    <w:rsid w:val="137A6790"/>
    <w:rsid w:val="1387448C"/>
    <w:rsid w:val="13BB0BE6"/>
    <w:rsid w:val="14987A16"/>
    <w:rsid w:val="149B6BF0"/>
    <w:rsid w:val="14E1570A"/>
    <w:rsid w:val="15705885"/>
    <w:rsid w:val="15A93B45"/>
    <w:rsid w:val="1670520E"/>
    <w:rsid w:val="16F11C88"/>
    <w:rsid w:val="183660B4"/>
    <w:rsid w:val="18856C25"/>
    <w:rsid w:val="19E21628"/>
    <w:rsid w:val="1A7A7A29"/>
    <w:rsid w:val="1A7B7DF9"/>
    <w:rsid w:val="1B7E5CCF"/>
    <w:rsid w:val="1B925356"/>
    <w:rsid w:val="1B9B174A"/>
    <w:rsid w:val="1BD20A61"/>
    <w:rsid w:val="1C0F7B0E"/>
    <w:rsid w:val="1C2472F6"/>
    <w:rsid w:val="1C2B02C8"/>
    <w:rsid w:val="1C5965DD"/>
    <w:rsid w:val="1C686AA6"/>
    <w:rsid w:val="1DC51EE2"/>
    <w:rsid w:val="1DF42E4D"/>
    <w:rsid w:val="1E993A75"/>
    <w:rsid w:val="1EA76EE9"/>
    <w:rsid w:val="1EF062B0"/>
    <w:rsid w:val="1F494278"/>
    <w:rsid w:val="1F62074F"/>
    <w:rsid w:val="1F9066AC"/>
    <w:rsid w:val="1FD1349E"/>
    <w:rsid w:val="205356FA"/>
    <w:rsid w:val="20717A70"/>
    <w:rsid w:val="207554CA"/>
    <w:rsid w:val="20D32E77"/>
    <w:rsid w:val="21014B41"/>
    <w:rsid w:val="2128584D"/>
    <w:rsid w:val="216270A9"/>
    <w:rsid w:val="21B324AE"/>
    <w:rsid w:val="21E41646"/>
    <w:rsid w:val="229175B6"/>
    <w:rsid w:val="22947508"/>
    <w:rsid w:val="22F96045"/>
    <w:rsid w:val="235B4756"/>
    <w:rsid w:val="23E95402"/>
    <w:rsid w:val="2419770F"/>
    <w:rsid w:val="24850715"/>
    <w:rsid w:val="24CC3C09"/>
    <w:rsid w:val="25420AA1"/>
    <w:rsid w:val="256C7940"/>
    <w:rsid w:val="25D15342"/>
    <w:rsid w:val="26276F08"/>
    <w:rsid w:val="26556C3D"/>
    <w:rsid w:val="268C140C"/>
    <w:rsid w:val="26994EF2"/>
    <w:rsid w:val="26F04C32"/>
    <w:rsid w:val="27CB6FE1"/>
    <w:rsid w:val="27F67D1D"/>
    <w:rsid w:val="27FF7565"/>
    <w:rsid w:val="283E48F7"/>
    <w:rsid w:val="28727364"/>
    <w:rsid w:val="28FC6790"/>
    <w:rsid w:val="28FE1901"/>
    <w:rsid w:val="2900197C"/>
    <w:rsid w:val="296C191D"/>
    <w:rsid w:val="29796611"/>
    <w:rsid w:val="2ADC0CAD"/>
    <w:rsid w:val="2B47788F"/>
    <w:rsid w:val="2BCB1A43"/>
    <w:rsid w:val="2CE10710"/>
    <w:rsid w:val="2CE13D42"/>
    <w:rsid w:val="2CE85F5A"/>
    <w:rsid w:val="2D7E3D18"/>
    <w:rsid w:val="2DDD3326"/>
    <w:rsid w:val="2F45627A"/>
    <w:rsid w:val="2F6949FE"/>
    <w:rsid w:val="2FB87DE1"/>
    <w:rsid w:val="2FEC59DE"/>
    <w:rsid w:val="303A6BC9"/>
    <w:rsid w:val="31607A94"/>
    <w:rsid w:val="31C50242"/>
    <w:rsid w:val="325469A5"/>
    <w:rsid w:val="326B5648"/>
    <w:rsid w:val="32975988"/>
    <w:rsid w:val="32F44C3D"/>
    <w:rsid w:val="34D668DD"/>
    <w:rsid w:val="354B0A39"/>
    <w:rsid w:val="35640483"/>
    <w:rsid w:val="3576772B"/>
    <w:rsid w:val="35CB55CA"/>
    <w:rsid w:val="35D858AF"/>
    <w:rsid w:val="35DF2F12"/>
    <w:rsid w:val="36536EAE"/>
    <w:rsid w:val="36543527"/>
    <w:rsid w:val="37DF02C6"/>
    <w:rsid w:val="383F0E1F"/>
    <w:rsid w:val="387D660E"/>
    <w:rsid w:val="388D05E7"/>
    <w:rsid w:val="39613CE9"/>
    <w:rsid w:val="39ED4E5D"/>
    <w:rsid w:val="3A00193B"/>
    <w:rsid w:val="3A5D6FC0"/>
    <w:rsid w:val="3A6173C2"/>
    <w:rsid w:val="3AAC01AC"/>
    <w:rsid w:val="3B0A72A6"/>
    <w:rsid w:val="3B8B0275"/>
    <w:rsid w:val="3BAA1AEF"/>
    <w:rsid w:val="3C563907"/>
    <w:rsid w:val="3C927782"/>
    <w:rsid w:val="3CD21F58"/>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C2308A"/>
    <w:rsid w:val="42AC12DF"/>
    <w:rsid w:val="4403385A"/>
    <w:rsid w:val="4687279B"/>
    <w:rsid w:val="48863E0A"/>
    <w:rsid w:val="48A0041F"/>
    <w:rsid w:val="490833CF"/>
    <w:rsid w:val="49704E95"/>
    <w:rsid w:val="49D4419C"/>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F3FFB"/>
    <w:rsid w:val="52816145"/>
    <w:rsid w:val="528C7FEF"/>
    <w:rsid w:val="53354E63"/>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1C6367"/>
    <w:rsid w:val="5C6C2081"/>
    <w:rsid w:val="5C913A01"/>
    <w:rsid w:val="5CE9053B"/>
    <w:rsid w:val="5E3A104D"/>
    <w:rsid w:val="5E74240F"/>
    <w:rsid w:val="5E904A7B"/>
    <w:rsid w:val="5F092E3E"/>
    <w:rsid w:val="60327E35"/>
    <w:rsid w:val="60582906"/>
    <w:rsid w:val="607D3E4C"/>
    <w:rsid w:val="608D41D9"/>
    <w:rsid w:val="60C33095"/>
    <w:rsid w:val="61373E32"/>
    <w:rsid w:val="616F6389"/>
    <w:rsid w:val="6185683E"/>
    <w:rsid w:val="62563D7B"/>
    <w:rsid w:val="63021BA8"/>
    <w:rsid w:val="63074E55"/>
    <w:rsid w:val="630A243D"/>
    <w:rsid w:val="640E4E21"/>
    <w:rsid w:val="642D5E74"/>
    <w:rsid w:val="647C2EF6"/>
    <w:rsid w:val="648A7D50"/>
    <w:rsid w:val="648F40E9"/>
    <w:rsid w:val="64BB14E6"/>
    <w:rsid w:val="64C47C99"/>
    <w:rsid w:val="64D97F88"/>
    <w:rsid w:val="65682C45"/>
    <w:rsid w:val="65846AED"/>
    <w:rsid w:val="65E372CD"/>
    <w:rsid w:val="66277C26"/>
    <w:rsid w:val="66294AE5"/>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97490"/>
    <w:rsid w:val="6E2B0937"/>
    <w:rsid w:val="6F075254"/>
    <w:rsid w:val="6F554AEA"/>
    <w:rsid w:val="6F7D3357"/>
    <w:rsid w:val="6F9540E9"/>
    <w:rsid w:val="6FF769AA"/>
    <w:rsid w:val="701B1493"/>
    <w:rsid w:val="705F69D3"/>
    <w:rsid w:val="7067206D"/>
    <w:rsid w:val="70FD5F46"/>
    <w:rsid w:val="714535C5"/>
    <w:rsid w:val="7161057A"/>
    <w:rsid w:val="71FC0FB1"/>
    <w:rsid w:val="72616F80"/>
    <w:rsid w:val="72F2089E"/>
    <w:rsid w:val="734350A8"/>
    <w:rsid w:val="735B235F"/>
    <w:rsid w:val="73B44D96"/>
    <w:rsid w:val="745463AC"/>
    <w:rsid w:val="75430823"/>
    <w:rsid w:val="7567100D"/>
    <w:rsid w:val="760C033F"/>
    <w:rsid w:val="76131F66"/>
    <w:rsid w:val="76264BB4"/>
    <w:rsid w:val="762C03C6"/>
    <w:rsid w:val="77573C5D"/>
    <w:rsid w:val="77604877"/>
    <w:rsid w:val="778D6ACB"/>
    <w:rsid w:val="77B171C3"/>
    <w:rsid w:val="781F55FF"/>
    <w:rsid w:val="78635B76"/>
    <w:rsid w:val="78760398"/>
    <w:rsid w:val="78A01947"/>
    <w:rsid w:val="78D43399"/>
    <w:rsid w:val="79237CCE"/>
    <w:rsid w:val="79AD038B"/>
    <w:rsid w:val="7A6A64EE"/>
    <w:rsid w:val="7B5A783B"/>
    <w:rsid w:val="7B932823"/>
    <w:rsid w:val="7B9A28A2"/>
    <w:rsid w:val="7BF02378"/>
    <w:rsid w:val="7C0D1FF9"/>
    <w:rsid w:val="7CC5504D"/>
    <w:rsid w:val="7D0E5AA8"/>
    <w:rsid w:val="7D395B88"/>
    <w:rsid w:val="7D527565"/>
    <w:rsid w:val="7E11763D"/>
    <w:rsid w:val="7E657E86"/>
    <w:rsid w:val="7EDA1F38"/>
    <w:rsid w:val="7EDE3ED2"/>
    <w:rsid w:val="7F030C71"/>
    <w:rsid w:val="7F206281"/>
    <w:rsid w:val="7F2F5BBB"/>
    <w:rsid w:val="7F3942E4"/>
    <w:rsid w:val="7FAF531C"/>
    <w:rsid w:val="7FEF24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5">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6">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2">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3">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nsolas" w:hAnsi="Consolas" w:eastAsia="Consolas" w:cs="Consolas"/>
      <w:color w:val="FFFFFF"/>
      <w:sz w:val="21"/>
      <w:szCs w:val="21"/>
      <w:shd w:val="clear" w:color="auto" w:fill="333333"/>
    </w:rPr>
  </w:style>
  <w:style w:type="character" w:styleId="63">
    <w:name w:val="HTML Sample"/>
    <w:unhideWhenUsed/>
    <w:qFormat/>
    <w:uiPriority w:val="0"/>
    <w:rPr>
      <w:rFonts w:ascii="Consolas" w:hAnsi="Consolas" w:eastAsia="Consolas" w:cs="Consolas"/>
      <w:sz w:val="21"/>
      <w:szCs w:val="21"/>
    </w:rPr>
  </w:style>
  <w:style w:type="character" w:customStyle="1" w:styleId="64">
    <w:name w:val="宏文本 Char"/>
    <w:link w:val="3"/>
    <w:qFormat/>
    <w:uiPriority w:val="0"/>
    <w:rPr>
      <w:rFonts w:ascii="Courier New" w:hAnsi="Courier New"/>
      <w:lang w:val="en-US" w:eastAsia="zh-CN" w:bidi="ar-SA"/>
    </w:rPr>
  </w:style>
  <w:style w:type="character" w:customStyle="1" w:styleId="65">
    <w:name w:val="标题 1 Char"/>
    <w:link w:val="4"/>
    <w:qFormat/>
    <w:locked/>
    <w:uiPriority w:val="99"/>
    <w:rPr>
      <w:rFonts w:ascii="宋体" w:hAnsi="宋体" w:eastAsia="宋体" w:cs="宋体"/>
      <w:b/>
      <w:bCs/>
      <w:kern w:val="36"/>
      <w:sz w:val="48"/>
      <w:szCs w:val="48"/>
      <w:lang w:val="en-US" w:eastAsia="zh-CN" w:bidi="ar-SA"/>
    </w:rPr>
  </w:style>
  <w:style w:type="character" w:customStyle="1" w:styleId="66">
    <w:name w:val="标题 2 Char"/>
    <w:link w:val="5"/>
    <w:qFormat/>
    <w:uiPriority w:val="99"/>
    <w:rPr>
      <w:rFonts w:ascii="Cambria" w:hAnsi="Cambria" w:eastAsia="宋体"/>
      <w:b/>
      <w:bCs/>
      <w:kern w:val="2"/>
      <w:sz w:val="32"/>
      <w:szCs w:val="32"/>
      <w:lang w:val="en-US" w:eastAsia="zh-CN" w:bidi="ar-SA"/>
    </w:rPr>
  </w:style>
  <w:style w:type="character" w:customStyle="1" w:styleId="67">
    <w:name w:val="标题 3 Char"/>
    <w:link w:val="6"/>
    <w:qFormat/>
    <w:uiPriority w:val="99"/>
    <w:rPr>
      <w:rFonts w:eastAsia="宋体"/>
      <w:b/>
      <w:bCs/>
      <w:kern w:val="2"/>
      <w:sz w:val="30"/>
      <w:szCs w:val="32"/>
      <w:lang w:val="en-US" w:eastAsia="zh-CN" w:bidi="ar-SA"/>
    </w:rPr>
  </w:style>
  <w:style w:type="character" w:customStyle="1" w:styleId="68">
    <w:name w:val="标题 4 Char"/>
    <w:link w:val="2"/>
    <w:qFormat/>
    <w:uiPriority w:val="99"/>
    <w:rPr>
      <w:rFonts w:ascii="Cambria" w:hAnsi="Cambria" w:eastAsia="宋体"/>
      <w:b/>
      <w:bCs/>
      <w:kern w:val="2"/>
      <w:sz w:val="28"/>
      <w:szCs w:val="28"/>
      <w:lang w:val="en-US" w:eastAsia="zh-CN" w:bidi="ar-SA"/>
    </w:rPr>
  </w:style>
  <w:style w:type="character" w:customStyle="1" w:styleId="69">
    <w:name w:val="标题 5 Char"/>
    <w:link w:val="7"/>
    <w:qFormat/>
    <w:uiPriority w:val="99"/>
    <w:rPr>
      <w:rFonts w:eastAsia="宋体"/>
      <w:b/>
      <w:bCs/>
      <w:kern w:val="2"/>
      <w:sz w:val="28"/>
      <w:szCs w:val="28"/>
      <w:lang w:val="en-US" w:eastAsia="zh-CN" w:bidi="ar-SA"/>
    </w:rPr>
  </w:style>
  <w:style w:type="character" w:customStyle="1" w:styleId="70">
    <w:name w:val="标题 6 Char"/>
    <w:link w:val="8"/>
    <w:qFormat/>
    <w:uiPriority w:val="99"/>
    <w:rPr>
      <w:rFonts w:ascii="Cambria" w:hAnsi="Cambria" w:eastAsia="宋体" w:cs="Cambria"/>
      <w:b/>
      <w:bCs/>
      <w:kern w:val="2"/>
      <w:sz w:val="24"/>
      <w:szCs w:val="24"/>
      <w:lang w:val="en-US" w:eastAsia="zh-CN" w:bidi="ar-SA"/>
    </w:rPr>
  </w:style>
  <w:style w:type="character" w:customStyle="1" w:styleId="71">
    <w:name w:val="标题 7 Char"/>
    <w:link w:val="9"/>
    <w:qFormat/>
    <w:uiPriority w:val="99"/>
    <w:rPr>
      <w:rFonts w:ascii="Calibri" w:hAnsi="Calibri" w:eastAsia="宋体" w:cs="Calibri"/>
      <w:b/>
      <w:bCs/>
      <w:kern w:val="2"/>
      <w:sz w:val="24"/>
      <w:szCs w:val="24"/>
      <w:lang w:val="en-US" w:eastAsia="zh-CN" w:bidi="ar-SA"/>
    </w:rPr>
  </w:style>
  <w:style w:type="character" w:customStyle="1" w:styleId="72">
    <w:name w:val="标题 8 Char"/>
    <w:link w:val="10"/>
    <w:qFormat/>
    <w:uiPriority w:val="99"/>
    <w:rPr>
      <w:rFonts w:ascii="Cambria" w:hAnsi="Cambria" w:eastAsia="宋体" w:cs="Cambria"/>
      <w:kern w:val="2"/>
      <w:sz w:val="24"/>
      <w:szCs w:val="24"/>
      <w:lang w:val="en-US" w:eastAsia="zh-CN" w:bidi="ar-SA"/>
    </w:rPr>
  </w:style>
  <w:style w:type="character" w:customStyle="1" w:styleId="73">
    <w:name w:val="标题 9 Char"/>
    <w:link w:val="11"/>
    <w:qFormat/>
    <w:uiPriority w:val="99"/>
    <w:rPr>
      <w:rFonts w:ascii="Cambria" w:hAnsi="Cambria" w:eastAsia="宋体" w:cs="Cambria"/>
      <w:kern w:val="2"/>
      <w:sz w:val="21"/>
      <w:szCs w:val="21"/>
      <w:lang w:val="en-US" w:eastAsia="zh-CN" w:bidi="ar-SA"/>
    </w:rPr>
  </w:style>
  <w:style w:type="character" w:customStyle="1" w:styleId="74">
    <w:name w:val="注释标题 Char"/>
    <w:link w:val="14"/>
    <w:qFormat/>
    <w:uiPriority w:val="99"/>
    <w:rPr>
      <w:rFonts w:eastAsia="宋体"/>
      <w:kern w:val="2"/>
      <w:sz w:val="21"/>
      <w:szCs w:val="24"/>
      <w:lang w:val="zh-CN" w:eastAsia="zh-CN" w:bidi="ar-SA"/>
    </w:rPr>
  </w:style>
  <w:style w:type="character" w:customStyle="1" w:styleId="75">
    <w:name w:val="正文缩进 Char"/>
    <w:link w:val="15"/>
    <w:qFormat/>
    <w:locked/>
    <w:uiPriority w:val="0"/>
    <w:rPr>
      <w:rFonts w:eastAsia="宋体"/>
      <w:b/>
      <w:bCs/>
      <w:kern w:val="2"/>
      <w:sz w:val="24"/>
      <w:szCs w:val="24"/>
      <w:lang w:bidi="ar-SA"/>
    </w:rPr>
  </w:style>
  <w:style w:type="character" w:customStyle="1" w:styleId="76">
    <w:name w:val="文档结构图 Char"/>
    <w:link w:val="17"/>
    <w:qFormat/>
    <w:uiPriority w:val="99"/>
    <w:rPr>
      <w:rFonts w:ascii="宋体" w:eastAsia="宋体"/>
      <w:kern w:val="2"/>
      <w:sz w:val="18"/>
      <w:szCs w:val="18"/>
      <w:lang w:val="en-US" w:eastAsia="zh-CN" w:bidi="ar-SA"/>
    </w:rPr>
  </w:style>
  <w:style w:type="character" w:customStyle="1" w:styleId="77">
    <w:name w:val="批注文字 Char1"/>
    <w:link w:val="18"/>
    <w:qFormat/>
    <w:uiPriority w:val="99"/>
    <w:rPr>
      <w:kern w:val="2"/>
      <w:sz w:val="21"/>
      <w:szCs w:val="24"/>
    </w:rPr>
  </w:style>
  <w:style w:type="character" w:customStyle="1" w:styleId="78">
    <w:name w:val="正文文本 3 Char"/>
    <w:link w:val="19"/>
    <w:qFormat/>
    <w:uiPriority w:val="0"/>
    <w:rPr>
      <w:rFonts w:ascii="宋体" w:hAnsi="Times New Roman" w:cs="宋体"/>
      <w:kern w:val="2"/>
      <w:sz w:val="24"/>
      <w:szCs w:val="24"/>
    </w:rPr>
  </w:style>
  <w:style w:type="character" w:customStyle="1" w:styleId="79">
    <w:name w:val="正文文本 Char"/>
    <w:link w:val="20"/>
    <w:qFormat/>
    <w:uiPriority w:val="99"/>
    <w:rPr>
      <w:rFonts w:ascii="仿宋_GB2312" w:eastAsia="仿宋_GB2312"/>
      <w:sz w:val="28"/>
      <w:lang w:val="en-US" w:eastAsia="zh-CN" w:bidi="ar-SA"/>
    </w:rPr>
  </w:style>
  <w:style w:type="character" w:customStyle="1" w:styleId="80">
    <w:name w:val="正文文本缩进 Char"/>
    <w:link w:val="21"/>
    <w:qFormat/>
    <w:uiPriority w:val="99"/>
    <w:rPr>
      <w:rFonts w:eastAsia="宋体"/>
      <w:kern w:val="2"/>
      <w:sz w:val="21"/>
      <w:szCs w:val="21"/>
      <w:lang w:val="en-US" w:eastAsia="zh-CN" w:bidi="ar-SA"/>
    </w:rPr>
  </w:style>
  <w:style w:type="character" w:customStyle="1" w:styleId="81">
    <w:name w:val="纯文本 Char1"/>
    <w:link w:val="27"/>
    <w:qFormat/>
    <w:uiPriority w:val="0"/>
    <w:rPr>
      <w:rFonts w:ascii="宋体" w:hAnsi="Courier New"/>
      <w:kern w:val="2"/>
      <w:sz w:val="21"/>
      <w:szCs w:val="21"/>
      <w:lang w:bidi="ar-SA"/>
    </w:rPr>
  </w:style>
  <w:style w:type="character" w:customStyle="1" w:styleId="82">
    <w:name w:val="日期 Char"/>
    <w:link w:val="29"/>
    <w:qFormat/>
    <w:locked/>
    <w:uiPriority w:val="99"/>
    <w:rPr>
      <w:rFonts w:ascii="Calibri" w:hAnsi="Calibri" w:eastAsia="宋体"/>
      <w:kern w:val="2"/>
      <w:sz w:val="21"/>
      <w:szCs w:val="21"/>
      <w:lang w:val="en-US" w:eastAsia="zh-CN" w:bidi="ar-SA"/>
    </w:rPr>
  </w:style>
  <w:style w:type="character" w:customStyle="1" w:styleId="83">
    <w:name w:val="正文文本缩进 2 Char"/>
    <w:link w:val="30"/>
    <w:qFormat/>
    <w:uiPriority w:val="99"/>
    <w:rPr>
      <w:rFonts w:ascii="宋体" w:hAnsi="Times New Roman" w:cs="宋体"/>
    </w:rPr>
  </w:style>
  <w:style w:type="character" w:customStyle="1" w:styleId="84">
    <w:name w:val="尾注文本 Char"/>
    <w:link w:val="31"/>
    <w:qFormat/>
    <w:uiPriority w:val="99"/>
    <w:rPr>
      <w:rFonts w:ascii="Times New Roman" w:hAnsi="Times New Roman"/>
      <w:kern w:val="2"/>
      <w:sz w:val="21"/>
      <w:szCs w:val="21"/>
    </w:rPr>
  </w:style>
  <w:style w:type="character" w:customStyle="1" w:styleId="85">
    <w:name w:val="批注框文本 Char"/>
    <w:link w:val="32"/>
    <w:qFormat/>
    <w:uiPriority w:val="99"/>
    <w:rPr>
      <w:kern w:val="2"/>
      <w:sz w:val="18"/>
      <w:szCs w:val="18"/>
    </w:rPr>
  </w:style>
  <w:style w:type="character" w:customStyle="1" w:styleId="86">
    <w:name w:val="页脚 Char"/>
    <w:link w:val="33"/>
    <w:qFormat/>
    <w:locked/>
    <w:uiPriority w:val="99"/>
    <w:rPr>
      <w:rFonts w:ascii="Calibri" w:hAnsi="Calibri" w:eastAsia="宋体"/>
      <w:kern w:val="2"/>
      <w:sz w:val="18"/>
      <w:szCs w:val="18"/>
      <w:lang w:val="en-US" w:eastAsia="zh-CN" w:bidi="ar-SA"/>
    </w:rPr>
  </w:style>
  <w:style w:type="character" w:customStyle="1" w:styleId="87">
    <w:name w:val="页眉 Char"/>
    <w:link w:val="34"/>
    <w:qFormat/>
    <w:locked/>
    <w:uiPriority w:val="99"/>
    <w:rPr>
      <w:rFonts w:ascii="Calibri" w:hAnsi="Calibri" w:eastAsia="宋体"/>
      <w:kern w:val="2"/>
      <w:sz w:val="18"/>
      <w:szCs w:val="18"/>
      <w:lang w:val="en-US" w:eastAsia="zh-CN" w:bidi="ar-SA"/>
    </w:rPr>
  </w:style>
  <w:style w:type="character" w:customStyle="1" w:styleId="88">
    <w:name w:val="副标题 Char"/>
    <w:link w:val="37"/>
    <w:qFormat/>
    <w:uiPriority w:val="11"/>
    <w:rPr>
      <w:rFonts w:ascii="Cambria" w:hAnsi="Cambria" w:eastAsia="宋体"/>
      <w:b/>
      <w:bCs/>
      <w:kern w:val="28"/>
      <w:sz w:val="32"/>
      <w:szCs w:val="32"/>
      <w:lang w:val="en-US" w:eastAsia="zh-CN" w:bidi="ar-SA"/>
    </w:rPr>
  </w:style>
  <w:style w:type="character" w:customStyle="1" w:styleId="89">
    <w:name w:val="正文文本缩进 3 Char"/>
    <w:link w:val="39"/>
    <w:qFormat/>
    <w:uiPriority w:val="99"/>
    <w:rPr>
      <w:rFonts w:ascii="仿宋_GB2312" w:eastAsia="仿宋_GB2312"/>
      <w:sz w:val="32"/>
      <w:lang w:bidi="ar-SA"/>
    </w:rPr>
  </w:style>
  <w:style w:type="character" w:customStyle="1" w:styleId="90">
    <w:name w:val="HTML 预设格式 Char"/>
    <w:link w:val="42"/>
    <w:qFormat/>
    <w:uiPriority w:val="99"/>
    <w:rPr>
      <w:rFonts w:ascii="宋体" w:hAnsi="宋体" w:cs="宋体"/>
      <w:sz w:val="24"/>
      <w:szCs w:val="24"/>
    </w:rPr>
  </w:style>
  <w:style w:type="character" w:customStyle="1" w:styleId="91">
    <w:name w:val="普通(网站) Char"/>
    <w:link w:val="43"/>
    <w:qFormat/>
    <w:uiPriority w:val="0"/>
    <w:rPr>
      <w:rFonts w:ascii="Calibri" w:hAnsi="Calibri" w:eastAsia="宋体"/>
      <w:sz w:val="24"/>
      <w:szCs w:val="24"/>
      <w:lang w:val="en-US" w:eastAsia="zh-CN" w:bidi="ar-SA"/>
    </w:rPr>
  </w:style>
  <w:style w:type="character" w:customStyle="1" w:styleId="92">
    <w:name w:val="标题 Char"/>
    <w:link w:val="45"/>
    <w:qFormat/>
    <w:uiPriority w:val="0"/>
    <w:rPr>
      <w:rFonts w:ascii="Cambria" w:hAnsi="Cambria" w:eastAsia="宋体"/>
      <w:b/>
      <w:bCs/>
      <w:kern w:val="2"/>
      <w:sz w:val="32"/>
      <w:szCs w:val="32"/>
      <w:lang w:val="en-US" w:eastAsia="zh-CN" w:bidi="ar-SA"/>
    </w:rPr>
  </w:style>
  <w:style w:type="character" w:customStyle="1" w:styleId="93">
    <w:name w:val="批注主题 Char"/>
    <w:link w:val="46"/>
    <w:qFormat/>
    <w:uiPriority w:val="99"/>
    <w:rPr>
      <w:rFonts w:ascii="Times New Roman" w:hAnsi="Times New Roman"/>
      <w:b/>
      <w:bCs/>
      <w:sz w:val="24"/>
    </w:rPr>
  </w:style>
  <w:style w:type="character" w:customStyle="1" w:styleId="94">
    <w:name w:val="正文首行缩进 2 Char"/>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4"/>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6"/>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6"/>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4"/>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4"/>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4"/>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5"/>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5"/>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4"/>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4"/>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eastAsia="宋体" w:cs="宋体"/>
      <w:sz w:val="20"/>
      <w:szCs w:val="20"/>
      <w:lang w:val="en-US" w:eastAsia="en-US" w:bidi="ar-SA"/>
    </w:rPr>
  </w:style>
  <w:style w:type="table" w:customStyle="1" w:styleId="4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4</Pages>
  <Words>1330</Words>
  <Characters>1780</Characters>
  <Lines>2</Lines>
  <Paragraphs>2</Paragraphs>
  <TotalTime>0</TotalTime>
  <ScaleCrop>false</ScaleCrop>
  <LinksUpToDate>false</LinksUpToDate>
  <CharactersWithSpaces>1846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2025-03-21T00:56:00Z</dcterms:created>
  <dc:creator>cj_wong</dc:creator>
  <cp:lastModifiedBy>啾啾</cp:lastModifiedBy>
  <cp:lastPrinted>2022-06-23T01:03:00Z</cp:lastPrinted>
  <dcterms:modified xsi:type="dcterms:W3CDTF">2026-06-02T07:51:49Z</dcterms:modified>
  <dc:title>XXXX年第X批风险监测实施方案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1AB47388474B4CD199132C9059531359_13</vt:lpwstr>
  </property>
  <property fmtid="{D5CDD505-2E9C-101B-9397-08002B2CF9AE}" pid="5" name="KSOTemplateDocerSaveRecord">
    <vt:lpwstr>eyJoZGlkIjoiNzQ2MTBiNWFhNzA1Y2FjZWI0MWEzN2UyMWExZDU1NjkiLCJ1c2VySWQiOiI0MjY5NjEyMDMifQ==</vt:lpwstr>
  </property>
</Properties>
</file>