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苏州市姑苏区民政综合服务中心</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贯彻落实养老服务、未成年人保护政策，组织开展政策宣传。指导养老服务机构登记评定、老年人生活能力评估等工作；指导区属公办养老机构管理、儿童关爱服务场所建设等工作。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紧紧围绕全局工作重点，紧扣养老服务、未成年人保护等工作职能，用心用情协助不断完善养老服务体系，提升养老服务内涵，落细未成年人保护工作，推动“一老一小”基础设施改善、服务提优。</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苏州市姑苏区民政综合服务中心</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苏州市姑苏区民政综合服务中心</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83.86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69.00</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14.86</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83.86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83.86</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83.86</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83.86</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83.86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83.86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83.86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016025</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苏州市姑苏区民政综合服务中心</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83.86</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83.86</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83.86</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69.00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民政管理事务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苏州市姑苏区民政综合服务中心</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83.86</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69.00</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14.86</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83.86</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83.86</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76.66</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7.20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69.00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69.00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61.80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民政管理事务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61.14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61.14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53.94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61.14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61.14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53.94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5.24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5.24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5.24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14.86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8.59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8.59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8.59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苏州市姑苏区民政综合服务中心</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83.86</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9.79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9.79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38.84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38.84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0.75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0.75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0.02</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2.12</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83.86</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76.66</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7.20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69.00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61.80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民政管理事务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53.94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61.14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53.94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8.59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83.86</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76.66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9.79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9.79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38.84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38.84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0.49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0.75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0.75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0.02</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2.12</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numPr>
          <w:ilvl w:val="0"/>
          <w:numId w:val="0"/>
        </w:numPr>
        <w:suppressAutoHyphens/>
        <w:bidi w:val="0"/>
        <w:spacing w:before="0" w:after="0"/>
        <w:ind w:left="-220" w:leftChars="0" w:right="0" w:rightChars="0" w:firstLine="0" w:firstLineChars="0"/>
        <w:jc w:val="left"/>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rPr>
        <w:t>注：</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无一般公共预算“三公”经费、会议费、培训费支出，故本表无数据。</w:t>
      </w:r>
      <w:r>
        <w:rPr>
          <w:b w:val="on"/>
          <w:rFonts w:ascii="仿宋" w:eastAsia="仿宋" w:hAnsi="仿宋" w:cs="仿宋"/>
          <w:sz w:val="22"/>
          <w:u w:color="auto"/>
        </w:rPr>
        <w:t/>
      </w:r>
    </w:p>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无一般公共预算机关运行经费支出，故本表无数据。</w:t>
      </w:r>
      <w:r>
        <w:rPr>
          <w:b w:val="on"/>
          <w:rFonts w:ascii="仿宋" w:eastAsia="仿宋" w:hAnsi="仿宋" w:cs="仿宋"/>
          <w:sz w:val="22"/>
          <w:u w:color="auto"/>
        </w:rPr>
        <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苏州市姑苏区民政综合服务中心</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苏州市姑苏区民政综合服务中心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3.16</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苏州市姑苏区民政综合服务中心2026年度收入、支出预算总计83.86万元，与上年相比收、支预算总计各增加19.38万元，增长30.06%。其中：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（一）收入预算总计83.86万元。包括：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1．本年收入合计83.86万元。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（1）一般公共预算拨款收入83.86万元，与上年相比增加19.38万元，增长30.06%。主要原因是人员经费增长。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（二）支出预算总计83.86万元。包括：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1．本年支出合计83.86万元。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（1）社会保障和就业支出（类）支出69万元，主要用于人员经费。与上年相比增加16.68万元，增长31.88%。主要原因是人员经费增长。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（2）住房保障支出（类）支出14.86万元，主要用于住房公积金。与上年相比增加2.7万元，增长22.2%。主要原因是基数调整。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苏州市姑苏区民政综合服务中心2026年收入预算合计83.86万元，包括本年收入83.86万元，上年结转结余0万元。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本年一般公共预算收入83.86万元，占100%；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苏州市姑苏区民政综合服务中心2026年支出预算合计83.86万元，其中：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基本支出83.86万元，占100%；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苏州市姑苏区民政综合服务中心2026年度财政拨款收、支总预算83.86万元。与上年相比，财政拨款收、支总计各增加19.38万元，增长30.06%。主要原因是人员经费增长。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苏州市姑苏区民政综合服务中心2026年财政拨款预算支出83.86万元，占本年支出合计的100%。与上年相比，财政拨款支出增加19.38万元，增长30.06%。主要原因是人员经费增长。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1.民政管理事务（款）其他民政管理事务支出（项）支出61.14万元，与上年相比增加8.82万元，增长16.86%。主要原因是人员经费增长。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2.行政事业单位养老支出（款）机关事业单位基本养老保险缴费支出（项）支出5.24万元，与上年相比增加5.24万元（去年预算数为0万元，无法计算增减比率）。主要原因是基数调整。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3.行政事业单位养老支出（款）机关事业单位职业年金缴费支出（项）支出2.62万元，与上年相比增加2.62万元（去年预算数为0万元，无法计算增减比率）。主要原因是基数调整。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1.住房改革支出（款）住房公积金（项）支出6.27万元，与上年相比增加2.43万元，增长63.28%。主要原因是基数调整。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2.住房改革支出（款）购房补贴（项）支出8.59万元，与上年相比增加0.27万元，增长3.25%。主要原因是基数调整。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苏州市姑苏区民政综合服务中心2026年度财政拨款基本支出预算83.86万元，其中：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（一）人员经费76.66万元。主要包括：基本工资、津贴补贴、绩效工资、机关事业单位基本养老保险缴费、职业年金缴费、职工基本医疗保险缴费、其他社会保障缴费、住房公积金、医疗费。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（二）公用经费7.2万元。主要包括：办公费、邮电费、差旅费、其他商品和服务支出。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苏州市姑苏区民政综合服务中心2026年一般公共预算财政拨款支出预算83.86万元，与上年相比增加19.38万元，增长30.06%。主要原因是人员经费增长。</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苏州市姑苏区民政综合服务中心2026年度一般公共预算财政拨款基本支出预算83.86万元，其中：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（一）人员经费76.66万元。主要包括：基本工资、津贴补贴、绩效工资、机关事业单位基本养老保险缴费、职业年金缴费、职工基本医疗保险缴费、其他社会保障缴费、住房公积金、医疗费。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（二）公用经费7.2万元。主要包括：办公费、邮电费、差旅费、其他商品和服务支出。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一般公共预算拨款安排的“三公”经费支出预算0万元，与上年预算数相同。其中，因公出国（境）费支出0万元，占“三公”经费的0%；公务用车购置及运行维护费支出0万元，占“三公”经费的0%；公务接待费支出0万元，占“三公”经费的0%。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2．公务用车购置及运行维护费预算支出0万元。其中：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苏州市姑苏区民政综合服务中心2026年度一般公共预算拨款安排的会议费预算支出0万元，与上年预算数相同。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苏州市姑苏区民政综合服务中心2026年度一般公共预算拨款安排的培训费预算支出0万元，与上年预算数相同。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苏州市姑苏区民政综合服务中心2026年国有资本经营预算支出0万元。与上年预算数相同。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2026年度政府采购支出预算总额3.16万元，其中：拟采购货物支出3.16万元、拟采购工程支出0万元、拟采购服务支出0万元。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83.86万元；本单位共0个项目纳入绩效目标管理，涉及财政性资金合计0万元，占财政性资金(人员类和运转类中的公用经费项目支出除外)总额的比例为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苏州市姑苏区民政综合服务中心</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