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4" w:hRule="atLeast"/>
        </w:trPr>
        <w:tc>
          <w:tcPr>
            <w:tcW w:w="10082" w:type="dxa"/>
            <w:tcBorders>
              <w:top w:val="nil"/>
              <w:left w:val="nil"/>
              <w:bottom w:val="nil"/>
              <w:right w:val="nil"/>
            </w:tcBorders>
          </w:tcPr>
          <w:p>
            <w:pPr>
              <w:pStyle w:val="8"/>
              <w:spacing w:line="550" w:lineRule="exact"/>
              <w:rPr>
                <w:rFonts w:hint="eastAsia" w:ascii="仿宋" w:hAnsi="仿宋" w:eastAsia="仿宋" w:cs="仿宋"/>
                <w:b/>
                <w:bCs/>
                <w:color w:val="FF0000"/>
                <w:sz w:val="22"/>
                <w:szCs w:val="22"/>
                <w:vertAlign w:val="baseline"/>
              </w:rPr>
            </w:pPr>
            <w:r>
              <w:rPr>
                <w:rFonts w:hint="eastAsia" w:ascii="仿宋" w:hAnsi="仿宋" w:eastAsia="仿宋" w:cs="仿宋"/>
                <w:b/>
                <w:bCs/>
                <w:color w:val="FF0000"/>
                <w:sz w:val="22"/>
                <w:szCs w:val="22"/>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5" w:hRule="atLeast"/>
        </w:trPr>
        <w:tc>
          <w:tcPr>
            <w:tcW w:w="10082" w:type="dxa"/>
            <w:tcBorders>
              <w:top w:val="nil"/>
              <w:left w:val="nil"/>
              <w:bottom w:val="nil"/>
              <w:right w:val="nil"/>
            </w:tcBorders>
            <w:vAlign w:val="center"/>
          </w:tcPr>
          <w:p>
            <w:pPr>
              <w:ind w:right="284" w:rightChars="129"/>
              <w:jc w:val="center"/>
              <w:rPr>
                <w:rFonts w:hint="eastAsia" w:ascii="仿宋" w:hAnsi="仿宋" w:eastAsia="仿宋" w:cs="仿宋"/>
                <w:b/>
                <w:bCs/>
                <w:color w:val="FF0000"/>
                <w:sz w:val="22"/>
                <w:szCs w:val="22"/>
                <w:vertAlign w:val="baseline"/>
              </w:rPr>
            </w:pPr>
            <w:r>
              <w:rPr>
                <w:rFonts w:hint="eastAsia" w:ascii="宋体" w:hAnsi="宋体" w:eastAsia="宋体" w:cs="宋体"/>
                <w:b/>
                <w:bCs/>
                <w:sz w:val="52"/>
                <w:szCs w:val="52"/>
                <w:lang w:val="en-US" w:eastAsia="zh-CN"/>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2026年度</w:t>
              <w:br w:type="textWrapping"/>
              <w:t/>
            </w:r>
            <w:r>
              <w:rPr>
                <w:b w:val="on"/>
                <w:rFonts w:ascii="宋体" w:eastAsia="宋体" w:hAnsi="宋体" w:cs="宋体"/>
                <w:sz w:val="52"/>
                <w:u w:color="auto"/>
              </w:rPr>
              <w:t>中国人民政治协商会议苏州</w:t>
            </w:r>
            <w:r>
              <w:rPr>
                <w:b w:val="on"/>
                <w:rFonts w:ascii="宋体" w:eastAsia="宋体" w:hAnsi="宋体" w:cs="宋体"/>
                <w:sz w:val="52"/>
                <w:u w:color="auto"/>
              </w:rPr>
              <w:t xml:space="preserve"></w:t>
              <w:br w:type="textWrapping"/>
              <w:t/>
            </w:r>
            <w:r>
              <w:rPr>
                <w:b w:val="on"/>
                <w:rFonts w:ascii="宋体" w:eastAsia="宋体" w:hAnsi="宋体" w:cs="宋体"/>
                <w:sz w:val="52"/>
                <w:u w:color="auto"/>
              </w:rPr>
              <w:t>市姑苏区委员会（机关）</w:t>
            </w:r>
            <w:r>
              <w:rPr>
                <w:b w:val="on"/>
                <w:rFonts w:ascii="宋体" w:eastAsia="宋体" w:hAnsi="宋体" w:cs="宋体"/>
                <w:sz w:val="52"/>
                <w:u w:color="auto"/>
              </w:rPr>
              <w:t xml:space="preserve"></w:t>
              <w:br w:type="textWrapping"/>
              <w:t>单位预算公开</w:t>
            </w:r>
            <w:r>
              <w:rPr>
                <w:b w:val="on"/>
                <w:rFonts w:ascii="宋体" w:eastAsia="宋体" w:hAnsi="宋体" w:cs="宋体"/>
                <w:sz w:val="52"/>
                <w:u w:color="auto"/>
              </w:rPr>
              <w:t/>
            </w:r>
            <w:r>
              <w:rPr>
                <w:b w:val="on"/>
                <w:rFonts w:ascii="宋体" w:eastAsia="宋体" w:hAnsi="宋体" w:cs="宋体"/>
                <w:sz w:val="52"/>
                <w:u w:color="auto"/>
              </w:rPr>
              <w:t/>
            </w:r>
          </w:p>
        </w:tc>
      </w:tr>
    </w:tbl>
    <w:p>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单位</w:t>
      </w:r>
      <w:r>
        <w:rPr>
          <w:rFonts w:hint="eastAsia" w:ascii="仿宋" w:hAnsi="仿宋" w:eastAsia="仿宋" w:cs="仿宋"/>
          <w:b/>
          <w:bCs/>
        </w:rPr>
        <w:t>概况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机构设置及预算单位构成情况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2026</w:t>
      </w:r>
      <w:r>
        <w:rPr>
          <w:rFonts w:hint="eastAsia" w:ascii="仿宋" w:hAnsi="仿宋" w:eastAsia="仿宋" w:cs="仿宋"/>
        </w:rPr>
        <w:t>年度</w:t>
      </w:r>
      <w:r>
        <w:rPr>
          <w:rFonts w:hint="eastAsia" w:ascii="仿宋" w:hAnsi="仿宋" w:eastAsia="仿宋" w:cs="仿宋"/>
          <w:lang w:val="en-US" w:eastAsia="zh-CN"/>
        </w:rPr>
        <w:t>单位</w:t>
      </w:r>
      <w:r>
        <w:rPr>
          <w:rFonts w:hint="eastAsia" w:ascii="仿宋" w:hAnsi="仿宋" w:eastAsia="仿宋" w:cs="仿宋"/>
        </w:rPr>
        <w:t>主要工作任务及目标</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lang w:val="en-US" w:eastAsia="zh-CN"/>
          <w:u/>
        </w:rPr>
        <w:t>年度</w:t>
      </w:r>
      <w:r>
        <w:rPr>
          <w:b w:val="on"/>
          <w:rFonts w:ascii="仿宋" w:eastAsia="仿宋" w:hAnsi="仿宋" w:cs="仿宋"/>
          <w:u w:color="auto"/>
        </w:rPr>
        <w:t>单位</w:t>
      </w:r>
      <w:r>
        <w:rPr>
          <w:b w:val="on"/>
          <w:rFonts w:ascii="仿宋" w:eastAsia="仿宋" w:hAnsi="仿宋" w:cs="仿宋"/>
          <w:u w:color="auto"/>
        </w:rPr>
        <w:t>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color w:val="000000"/>
          <w:sz w:val="30"/>
          <w:szCs w:val="30"/>
          <w:lang w:val="en-US" w:bidi="ar"/>
          <w:u/>
        </w:rPr>
        <w:t>年度</w:t>
      </w:r>
      <w:r>
        <w:rPr>
          <w:b w:val="on"/>
          <w:color w:val="000000"/>
          <w:rFonts w:ascii="仿宋" w:eastAsia="仿宋" w:hAnsi="仿宋" w:cs="仿宋"/>
          <w:sz w:val="30"/>
          <w:u w:color="auto"/>
        </w:rPr>
        <w:t>单位</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5"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单位</w:t>
      </w:r>
      <w:r>
        <w:rPr>
          <w:rFonts w:hint="eastAsia" w:ascii="仿宋" w:hAnsi="仿宋" w:eastAsia="仿宋" w:cs="仿宋"/>
          <w:b/>
          <w:bCs/>
        </w:rPr>
        <w:t>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积极履行政治协商、民主监督、参政议政的职能。</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u/>
        </w:rPr>
        <w:t>二、</w:t>
      </w:r>
      <w:r>
        <w:rPr>
          <w:b w:val="on"/>
          <w:rFonts w:ascii="仿宋" w:eastAsia="仿宋" w:hAnsi="仿宋" w:cs="仿宋"/>
          <w:u w:color="auto"/>
        </w:rPr>
        <w:t>单位</w:t>
      </w:r>
      <w:r>
        <w:rPr>
          <w:rFonts w:hint="eastAsia" w:ascii="仿宋" w:hAnsi="仿宋" w:eastAsia="仿宋" w:cs="仿宋"/>
          <w:b/>
          <w:bCs/>
        </w:rPr>
        <w:t>机构设置及预算单位构成情况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hint="eastAsia" w:ascii="仿宋" w:hAnsi="仿宋" w:eastAsia="仿宋" w:cs="仿宋"/>
          <w:lang w:val="en-US"/>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“一室六委”：办公室（研究室）、提案委员会、经济科技委员会、古城保护委员会（城乡建设委员会）、社会事业委员会、文化文史委员会、联络委员会。</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2026</w:t>
      </w:r>
      <w:r>
        <w:rPr>
          <w:rFonts w:hint="eastAsia" w:ascii="仿宋" w:hAnsi="仿宋" w:eastAsia="仿宋" w:cs="仿宋"/>
          <w:b/>
          <w:bCs/>
          <w:u/>
        </w:rPr>
        <w:t>年度</w:t>
      </w:r>
      <w:r>
        <w:rPr>
          <w:b w:val="on"/>
          <w:rFonts w:ascii="仿宋" w:eastAsia="仿宋" w:hAnsi="仿宋" w:cs="仿宋"/>
          <w:u w:color="auto"/>
        </w:rPr>
        <w:t>单位</w:t>
      </w:r>
      <w:r>
        <w:rPr>
          <w:b w:val="on"/>
          <w:rFonts w:ascii="仿宋" w:eastAsia="仿宋" w:hAnsi="仿宋" w:cs="仿宋"/>
          <w:u w:color="auto"/>
        </w:rPr>
        <w:t>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2026年是“十五五”开局之年。区政协常委会工作的总体要求是：坚持以习近平新时代中国特色社会主义思想为指导，深入学习贯彻中共二十大和二十届历次全会精神，围绕习近平总书记提出的“保护好、挖掘好、运用好”“代表未来发展方向”“生活在这里很有福气”重要要求，聚焦区委三届十一次全会各项部署安排，锚定“一中心、两高地、一典范”发展定位，深入践行全过程人民民主，着力提升建言资政、凝聚共识能力水平，不断探索创新，扎实履职尽责，为共同推动姑苏“十五五”良好开局凝聚人心、凝聚共识、凝聚智慧、凝聚力量。</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一、坚持党的领导，在把牢政治方向上站稳立场</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始终把坚持党的领导摆在首位。始终坚持和加强党对政协工作的全面领导，严格执行重大事项请示报告制度，认真实施区委批准的年度协商计划，紧紧围绕区委对政协工作的各项要求开展履职活动。聚焦区委三届十一次全会提出的各项目标任务，引导广大政协委员和社会各界深刻理解、衷心拥护改革发展的战略部署和具体举措，持续汇聚紧跟区委步伐、全力推进高质量发展的共同信念和坚定决心，助力区委各项决策部署落地见效。</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始终把思想政治引领落到实处。自觉用习近平新时代中国特色社会主义思想凝心铸魂，严格落实“第一议题”制度，完善以党组理论学习中心组学习为引领的常态化学习机制，深入学习贯彻党的二十届四中全会精神、习近平总书记关于加强和改进人民政协工作的重要思想和对江苏、苏州工作重要讲话重要指示精神，认真贯彻落实习近平总书记在参加十四届全国人大四次会议江苏代表团审议时的重要讲话精神，坚持把“研究新情况”作为履职前提，把“解决新问题”作为实干目标，在筑牢思想政治根基中深刻领悟“两个确立”的决定性意义，坚决做到“两个维护”，切实把学习成果转化为服务中心大局、增进民生福祉的实际成效。</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始终把从严管党治党抓在手上。切实发挥政协党组把方向、管大局、保落实的作用，坚决扛牢全面从严治党主体责任，层层压实党的建设、意识形态、党风廉政建设和统一战线工作责任制。健全完善机关党组、机关党支部、专委会功能型履职临时党支部组织体系，发挥党员干部和党员委员先锋模范作用，探索“党建+界别”“党建+委员工作室”等履职模式，组织开展走访联系界别群众等活动，持续提高政协党的建设工作质量。</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二、深耕主责主业，在服务中心大局上精准发力</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紧扣中心工作建言资政。坚持区委中心任务推进到哪里，专门协商机构的智慧和力量就汇聚到哪里，围绕“加快发展创新科技产业”“直管公房解危修缮”“打造江南生活美学新场景”“探索基层治理精细化创新路径”“提升矛盾纠纷调处化解能力”等重点事项开好议政性常委会会议、主席专题协商会议，形成有分量的协商成果；聚焦“文旅带动、场景推动、活动拉动、产业联动”，就大力培育消费新场景、新业态、新模式，发展首店经济、节庆经济、甜蜜经济等议题精心组织对口协商、界别协商，努力提出专业性、针对性、可操作性强的对策建议。组织政协委员、机关干部积极参与“三服务”专项行动，为助力增强高质量发展内生动能贡献政协力量。</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紧盯关键领域务实监督。联动市政协围绕“加快国家历史文化名城保护更新”主题，聚焦规划落实、文脉传承、活化利用、机制优化等重点环节开展专项民主监督，持续跟进重点片区保护更新、古城人居环境和空间品质提升综合工程等进展情况、推进成效，实事求是反映问题，精准科学提出建议。针对“物业城市”服务完善、新就业群体权益保障、优质教育医疗资源均衡配置等民生热点难点，主动加强与党内监督、司法监督、社会监督等其他监督方式的贯通衔接，协助党委政府解决问题、改进工作、增进团结、凝心聚力。</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紧跟发展要事参政议政。围绕区委三届十一次全会作出的决策部署，寻找党政所需、群众所盼与政协所能的结合点，推动调研工作持续向基层延伸，真正把情况摸清、把问题找准、把建议提实。进一步深化“融入式协商”等平台建设，聚焦推进服务业扩能提质、促进人工智能产业集聚等方面，邀请职能部门、专家学者、界别群众共同参与，为助力打造创新型人文经济高地广纳群言、广集众智、广谋良策。</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三、厚植为民情怀，在增进民生福祉上践行初心</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7.提质增效抓好提案工作。坚持少而精、专而深、准而新的导向，完善提案征集机制，做好重点提案孵化工作。严把提案审查关，加强集体提案培育，探索同类提案集中交办、合并立案，推动提案质量不断提升。健全党政领导带头督办重点提案、提案办理“回头看”、民主评议等机制，努力形成办好一件提案、解决一类问题、推动一系列工作的良好局面。以年度好提案、优秀提案为抓手，发挥示范带动效应，不断增强提案工作的影响力和实效性。</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8.深化委员联系界别群众工作。依托“社情民意联系日”机制，深入开展委员履职“服务为民”活动，鼓励委员立足岗位、发挥专长，就近就地开展便民服务、公益活动，主动为群众做好事、办实事、解难事。进一步发挥全国政协委员宋青基层联系点引领作用，建好用好委员工作室，支持委员在凝聚社会共识、拓展协商平台、服务基层治理等方面持续发力，协助党委政府做好协调关系、理顺情绪、化解矛盾的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9.加强反映社情民意信息工作。充分发挥社情民意信息在吸纳民意、汇集民智中的作用，聚焦“十五五”规划实施和经济社会发展面临的迫切问题，拓宽信息来源渠道，密切同各部门各方面的沟通联络，支持报送针对性强、专业性强的高质量信息。健全社情民意专家咨询机制，强化业务培训和交流互学，提高整体撰写水平。将反映社情民意信息工作融入日常履职，完善报送、采纳、反馈全链条机制，助力更多基层所呼、群众所盼得到转化落实。</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四、深化团结联谊，在汇聚奋进合力上广增共识</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10.发挥统一战线功能。压实做好新时代党的统一战线工作主体责任，加强与统战部门的沟通协作，围绕“十五五”规划实施、重点工作进展等组织开展联合调研、联合协商，支持民主党派、工商联和无党派人士在政协更好履职尽责。畅通党外知识分子、非公有制经济人士、新的社会阶层人士、民族宗教界人士等的意见诉求表达渠道，最大限度把各方面智慧和力量凝聚起来，寻求最大公约数，画出最大同心圆。</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11.拓展合作共事渠道。落实主席会议成员走访看望委员、专委会联系界别委员、党员委员联系党外委员等制度机制，坚持发扬民主和增进团结相互贯通、建言资政和凝聚共识双向发力，把协商民主贯穿到各项履职活动之中。组织开展谈心谈话、走访交流，引导政协委员、机关干部主动参与企业走访、重点项目调研等工作，为姑苏发展汇聚更多同行者、同力者。加强与上级政协、兄弟政协的联系沟通，广泛汇聚团结奋斗正能量。</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12.加大文史宣传力度。健全无边界文史馆资料共享机制，深化姑苏文史联盟合作，拓展文史传播场景。依托“姑苏文史”抖音号、“姑苏政协”视频号，持续策划推出文化文史类精品短视频，生动展现古城千年文脉和江南文化精髓。加强政协网站、微信公众号等宣传阵地建设，主动对接各级媒体，定期策划并报送高质量新闻稿件，全面展示委员风采、讲好政协履职故事。</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五、着力强基固本，在抓实自身建设上久久为功</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13.建强政协委员队伍。按照“懂政协、会协商、善议政，守纪律、讲规矩、重品行”的要求，落实情况通报、委员培训等工作机制，加强委员履职考核和监督管理，引导委员珍视委员身份、锤炼政治品格、拓宽知识视野、提升专业素养。做好委员服务联络工作，为委员履职创造良好条件。</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14.提升整体工作效能。强化专委会基础性作用，深化与界别、党派团体、党政部门的经常性沟通联动，精心组织协商议政、调研视察等履职活动，进一步发挥“专”的优势。强化街道政协联络工委阵地功能，持续推动协商触角向基层下延、委员力量向一线下沉，不断提高政协工作整体水平。</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15.锻造模范政协机关。结合做好区委巡察整改深化落实，纵深推进全面从严治党，扎实开展树立和践行正确政绩观学习教育，引导机关干部落实“立党为公、为民造福、科学决策、真抓实干”总要求，在服务大局、服务委员的具体实践中不断提高政治能力、工作能力和抓落实的本领，进一步增强履职效能，推动政协工作再上新台阶。</w:t>
      </w:r>
      <w:r>
        <w:rPr>
          <w:rFonts w:ascii="仿宋" w:eastAsia="仿宋" w:hAnsi="仿宋" w:cs="仿宋"/>
          <w:u w:color="auto"/>
        </w:rPr>
        <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中国人民政治协商会议苏州市姑苏区委员会（机关）</w:t>
      </w:r>
    </w:p>
    <w:p>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u/>
        </w:rPr>
        <w:t>单位</w:t>
      </w:r>
      <w:r>
        <w:rPr>
          <w:b w:val="on"/>
          <w:rFonts w:ascii="仿宋" w:eastAsia="仿宋" w:hAnsi="仿宋" w:cs="仿宋"/>
          <w:sz w:val="44"/>
          <w:u w:color="auto"/>
        </w:rPr>
        <w:t>预算表</w:t>
      </w:r>
    </w:p>
    <w:tbl>
      <w:tblPr>
        <w:tblStyle w:val="12"/>
        <w:tblW w:w="11329" w:type="dxa"/>
        <w:jc w:val="center"/>
        <w:tblInd w:w="0" w:type="dxa"/>
        <w:tblLayout w:type="fixed"/>
        <w:tblCellMar>
          <w:top w:w="0" w:type="dxa"/>
          <w:left w:w="108" w:type="dxa"/>
          <w:bottom w:w="0" w:type="dxa"/>
          <w:right w:w="108" w:type="dxa"/>
        </w:tblCellMar>
      </w:tblPr>
      <w:tblGrid>
        <w:gridCol w:w="3908"/>
        <w:gridCol w:w="1869"/>
        <w:gridCol w:w="3704"/>
        <w:gridCol w:w="67"/>
        <w:gridCol w:w="1781"/>
      </w:tblGrid>
      <w:tr>
        <w:tblPrEx>
          <w:tblLayout w:type="fixed"/>
          <w:tblCellMar>
            <w:top w:w="0" w:type="dxa"/>
            <w:left w:w="108" w:type="dxa"/>
            <w:bottom w:w="0" w:type="dxa"/>
            <w:right w:w="108" w:type="dxa"/>
          </w:tblCellMar>
        </w:tblPrEx>
        <w:trPr>
          <w:trHeight w:val="116" w:hRule="atLeast"/>
          <w:jc w:val="center"/>
        </w:trPr>
        <w:tc>
          <w:tcPr>
            <w:tcW w:w="11329" w:type="dxa"/>
            <w:gridSpan w:val="5"/>
            <w:vAlign w:val="center"/>
          </w:tcPr>
          <w:p>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tblPrEx>
          <w:tblLayout w:type="fixed"/>
          <w:tblCellMar>
            <w:top w:w="0" w:type="dxa"/>
            <w:left w:w="108" w:type="dxa"/>
            <w:bottom w:w="0" w:type="dxa"/>
            <w:right w:w="108" w:type="dxa"/>
          </w:tblCellMar>
        </w:tblPrEx>
        <w:trPr>
          <w:trHeight w:val="348" w:hRule="atLeast"/>
          <w:jc w:val="center"/>
        </w:trPr>
        <w:tc>
          <w:tcPr>
            <w:tcW w:w="11329" w:type="dxa"/>
            <w:gridSpan w:val="5"/>
          </w:tcPr>
          <w:p>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tblPrEx>
          <w:tblLayout w:type="fixed"/>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color w:val="000000"/>
                <w:sz w:val="22"/>
                <w:szCs w:val="22"/>
                <w:lang w:eastAsia="ar-SA"/>
              </w:rPr>
              <w:t>中国人民政治协商会议苏州市姑苏区委员会（机关）</w:t>
            </w:r>
          </w:p>
        </w:tc>
        <w:tc>
          <w:tcPr>
            <w:tcW w:w="1848"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tblPrEx>
          <w:tblLayout w:type="fixed"/>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tblPrEx>
          <w:tblLayout w:type="fixed"/>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w: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2,289.28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1,347.45</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3.94</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135.49</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802.40</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2,289.28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2,289.28</w:t>
            </w:r>
          </w:p>
        </w:tc>
      </w:tr>
      <w:tr>
        <w:tblPrEx>
          <w:tblLayout w:type="fixed"/>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zh-CN" w:eastAsia="ar-SA"/>
              </w:rPr>
            </w:pPr>
            <w:r>
              <w:rPr>
                <w:rFonts w:hint="eastAsia" w:ascii="仿宋" w:hAnsi="仿宋" w:eastAsia="仿宋" w:cs="仿宋"/>
                <w:b/>
                <w:bCs/>
                <w:color w:val="000000"/>
                <w:sz w:val="22"/>
                <w:szCs w:val="22"/>
                <w:lang w:val="zh-CN" w:eastAsia="ar-SA"/>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
            </w:r>
          </w:p>
        </w:tc>
      </w:tr>
      <w:tr>
        <w:tblPrEx>
          <w:tblLayout w:type="fixed"/>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2,289.28</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2,289.28</w:t>
            </w:r>
          </w:p>
        </w:tc>
      </w:tr>
    </w:tbl>
    <w:p>
      <w:pPr>
        <w:widowControl w:val="0"/>
        <w:suppressAutoHyphens/>
        <w:bidi w:val="0"/>
        <w:spacing w:before="66" w:after="0"/>
        <w:ind w:right="0"/>
        <w:jc w:val="left"/>
        <w:rPr>
          <w:rFonts w:hint="eastAsia" w:ascii="仿宋" w:hAnsi="仿宋" w:eastAsia="仿宋" w:cs="仿宋"/>
          <w:b/>
          <w:bCs/>
          <w:color w:val="000000"/>
          <w:sz w:val="22"/>
          <w:szCs w:val="22"/>
        </w:rPr>
        <w:sectPr>
          <w:footerReference r:id="rId7"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2,289.28</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2,289.28</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2,289.28</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022001</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中国人民政治协商会议苏州市姑苏区委员会（机关）</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2,289.28</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2,289.28</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2,289.28</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r>
    </w:tbl>
    <w:p>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8"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Layout w:type="fixed"/>
          <w:tblCellMar>
            <w:top w:w="55" w:type="dxa"/>
            <w:left w:w="55" w:type="dxa"/>
            <w:bottom w:w="55" w:type="dxa"/>
            <w:right w:w="55" w:type="dxa"/>
          </w:tblCellMar>
        </w:tblPrEx>
        <w:trPr>
          <w:trHeight w:val="341" w:hRule="atLeast"/>
        </w:trPr>
        <w:tc>
          <w:tcPr>
            <w:tcW w:w="15347" w:type="dxa"/>
            <w:gridSpan w:val="8"/>
            <w:vAlign w:val="center"/>
          </w:tcPr>
          <w:p>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tblPrEx>
          <w:tblLayout w:type="fixed"/>
          <w:tblCellMar>
            <w:top w:w="55" w:type="dxa"/>
            <w:left w:w="55" w:type="dxa"/>
            <w:bottom w:w="55" w:type="dxa"/>
            <w:right w:w="55" w:type="dxa"/>
          </w:tblCellMar>
        </w:tblPrEx>
        <w:trPr>
          <w:trHeight w:val="321" w:hRule="atLeast"/>
        </w:trPr>
        <w:tc>
          <w:tcPr>
            <w:tcW w:w="15347" w:type="dxa"/>
            <w:gridSpan w:val="8"/>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Layout w:type="fixed"/>
          <w:tblCellMar>
            <w:top w:w="55" w:type="dxa"/>
            <w:left w:w="55" w:type="dxa"/>
            <w:bottom w:w="55" w:type="dxa"/>
            <w:right w:w="55" w:type="dxa"/>
          </w:tblCellMar>
        </w:tblPrEx>
        <w:trPr>
          <w:trHeight w:val="218" w:hRule="atLeast"/>
        </w:trPr>
        <w:tc>
          <w:tcPr>
            <w:tcW w:w="12030" w:type="dxa"/>
            <w:gridSpan w:val="6"/>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3317" w:type="dxa"/>
            <w:gridSpan w:val="2"/>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Layout w:type="fixed"/>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u/>
              </w:rPr>
              <w:t/>
            </w:r>
            <w:r>
              <w:rPr>
                <w:rFonts w:ascii="仿宋" w:eastAsia="仿宋" w:hAnsi="仿宋" w:cs="仿宋"/>
                <w:sz w:val="22"/>
                <w:u w:color="auto"/>
              </w:rPr>
              <w:t>合计</w:t>
            </w:r>
          </w:p>
        </w:tc>
        <w:tc>
          <w:tcPr>
            <w:tcW w:w="19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2,289.28</w:t>
            </w:r>
          </w:p>
        </w:tc>
        <w:tc>
          <w:tcPr>
            <w:tcW w:w="171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1,925.69</w:t>
            </w:r>
          </w:p>
        </w:tc>
        <w:tc>
          <w:tcPr>
            <w:tcW w:w="174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363.59</w:t>
            </w:r>
          </w:p>
        </w:tc>
        <w:tc>
          <w:tcPr>
            <w:tcW w:w="186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一般公共服务支出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1,347.45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987.80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359.65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20102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政协事务</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1,347.45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987.80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359.65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2010201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行政运行</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987.80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987.80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2010202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一般行政管理事务</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269.65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269.65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2010204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政协会议</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90.00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90.00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科学技术支出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90.33</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90.33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45.16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45.16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108.90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108.90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提租补贴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656.66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656.66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36.84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36.84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suppressAutoHyphens/>
        <w:bidi w:val="0"/>
        <w:spacing w:before="59" w:after="0"/>
        <w:ind w:left="57" w:right="0" w:firstLine="0"/>
        <w:jc w:val="left"/>
        <w:rPr>
          <w:rFonts w:hint="eastAsia" w:ascii="仿宋" w:hAnsi="仿宋" w:eastAsia="仿宋" w:cs="仿宋"/>
          <w:b/>
          <w:bCs/>
          <w:sz w:val="22"/>
          <w:szCs w:val="22"/>
        </w:rPr>
        <w:sectPr>
          <w:footerReference r:id="rId9"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tblPrEx>
          <w:tblLayout w:type="fixed"/>
          <w:tblCellMar>
            <w:top w:w="55" w:type="dxa"/>
            <w:left w:w="55" w:type="dxa"/>
            <w:bottom w:w="55" w:type="dxa"/>
            <w:right w:w="55" w:type="dxa"/>
          </w:tblCellMar>
        </w:tblPrEx>
        <w:trPr>
          <w:trHeight w:val="319" w:hRule="atLeast"/>
        </w:trPr>
        <w:tc>
          <w:tcPr>
            <w:tcW w:w="11890" w:type="dxa"/>
            <w:gridSpan w:val="3"/>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中国人民政治协商会议苏州市姑苏区委员会（机关）</w:t>
            </w:r>
          </w:p>
        </w:tc>
        <w:tc>
          <w:tcPr>
            <w:tcW w:w="3899" w:type="dxa"/>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tblPrEx>
          <w:tblLayout w:type="fixed"/>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u/>
              </w:rPr>
              <w:t/>
            </w:r>
            <w:r>
              <w:rPr>
                <w:b w:val="on"/>
                <w:rFonts w:ascii="仿宋" w:eastAsia="仿宋" w:hAnsi="仿宋" w:cs="仿宋"/>
                <w:sz w:val="22"/>
                <w:u w:color="auto"/>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2,289.28</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2,289.28</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2,289.28</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1,347.45</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3.94</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135.49</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802.40</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2,289.28</w:t>
            </w:r>
          </w:p>
        </w:tc>
        <w:tc>
          <w:tcPr>
            <w:tcW w:w="394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2,289.28</w:t>
            </w:r>
          </w:p>
        </w:tc>
      </w:tr>
    </w:tbl>
    <w:p>
      <w:pPr>
        <w:ind w:left="-220" w:leftChars="-100" w:firstLine="0" w:firstLineChars="0"/>
        <w:rPr>
          <w:rFonts w:hint="eastAsia" w:ascii="仿宋" w:hAnsi="仿宋" w:eastAsia="仿宋" w:cs="仿宋"/>
          <w:b/>
          <w:bCs/>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Layout w:type="fixed"/>
        </w:tblPrEx>
        <w:trPr>
          <w:trHeight w:val="321" w:hRule="atLeast"/>
        </w:trPr>
        <w:tc>
          <w:tcPr>
            <w:tcW w:w="15216" w:type="dxa"/>
            <w:gridSpan w:val="7"/>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tblPrEx>
          <w:tblLayout w:type="fixed"/>
        </w:tblPrEx>
        <w:trPr>
          <w:trHeight w:val="321" w:hRule="atLeast"/>
        </w:trPr>
        <w:tc>
          <w:tcPr>
            <w:tcW w:w="15216" w:type="dxa"/>
            <w:gridSpan w:val="7"/>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tblPrEx>
          <w:tblLayout w:type="fixed"/>
        </w:tblPrEx>
        <w:trPr>
          <w:trHeight w:val="309" w:hRule="atLeast"/>
        </w:trPr>
        <w:tc>
          <w:tcPr>
            <w:tcW w:w="13552" w:type="dxa"/>
            <w:gridSpan w:val="6"/>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1664" w:type="dxa"/>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PrEx>
        <w:trPr>
          <w:trHeight w:val="319" w:hRule="atLeast"/>
        </w:trPr>
        <w:tc>
          <w:tcPr>
            <w:tcW w:w="1846"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PrEx>
        <w:trPr>
          <w:trHeight w:val="296" w:hRule="atLeast"/>
        </w:trPr>
        <w:tc>
          <w:tcPr>
            <w:tcW w:w="1846"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2,289.28</w:t>
            </w:r>
          </w:p>
        </w:tc>
        <w:tc>
          <w:tcPr>
            <w:tcW w:w="1827"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1,925.69</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1,820.51</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105.18</w:t>
            </w:r>
          </w:p>
        </w:tc>
        <w:tc>
          <w:tcPr>
            <w:tcW w:w="1664" w:type="dxa"/>
            <w:tcBorders>
              <w:left w:val="single" w:color="000000" w:sz="6" w:space="0"/>
              <w:bottom w:val="single" w:color="000000" w:sz="6" w:space="0"/>
              <w:right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363.59</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一般公共服务支出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1,347.45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987.80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882.62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105.18</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359.65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政协事务</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1,347.45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987.80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882.62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105.18</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359.65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行政运行</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987.80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987.80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882.62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105.18</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2010202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一般行政管理事务</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269.65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269.65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2010204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政协会议</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90.00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90.00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科学技术支出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技术研究与开发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3.94</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135.49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135.49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135.49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135.49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135.49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135.49</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90.33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90.33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90.33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45.16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45.16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45.16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802.40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802.40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802.40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802.40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802.40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802.40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108.90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108.90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108.90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656.66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656.66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656.66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36.84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36.84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36.84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Layout w:type="fixed"/>
          <w:tblCellMar>
            <w:top w:w="55" w:type="dxa"/>
            <w:left w:w="55" w:type="dxa"/>
            <w:bottom w:w="55" w:type="dxa"/>
            <w:right w:w="55" w:type="dxa"/>
          </w:tblCellMar>
        </w:tblPrEx>
        <w:trPr>
          <w:trHeight w:val="319" w:hRule="atLeast"/>
        </w:trPr>
        <w:tc>
          <w:tcPr>
            <w:tcW w:w="10817" w:type="dxa"/>
            <w:gridSpan w:val="5"/>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tblPrEx>
          <w:tblLayout w:type="fixed"/>
          <w:tblCellMar>
            <w:top w:w="55" w:type="dxa"/>
            <w:left w:w="55" w:type="dxa"/>
            <w:bottom w:w="55" w:type="dxa"/>
            <w:right w:w="55" w:type="dxa"/>
          </w:tblCellMar>
        </w:tblPrEx>
        <w:trPr>
          <w:trHeight w:val="319" w:hRule="atLeast"/>
        </w:trPr>
        <w:tc>
          <w:tcPr>
            <w:tcW w:w="10817"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tblPrEx>
          <w:tblLayout w:type="fixed"/>
          <w:tblCellMar>
            <w:top w:w="55" w:type="dxa"/>
            <w:left w:w="55" w:type="dxa"/>
            <w:bottom w:w="55" w:type="dxa"/>
            <w:right w:w="55" w:type="dxa"/>
          </w:tblCellMar>
        </w:tblPrEx>
        <w:trPr>
          <w:trHeight w:val="319" w:hRule="atLeast"/>
        </w:trPr>
        <w:tc>
          <w:tcPr>
            <w:tcW w:w="8760"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中国人民政治协商会议苏州市姑苏区委员会（机关）</w:t>
            </w:r>
          </w:p>
        </w:tc>
        <w:tc>
          <w:tcPr>
            <w:tcW w:w="2057"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tblPrEx>
          <w:tblLayout w:type="fixed"/>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1,925.69</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1,820.51</w:t>
            </w:r>
          </w:p>
        </w:tc>
        <w:tc>
          <w:tcPr>
            <w:tcW w:w="2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105.18</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1,196.03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1,196.03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154.40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154.40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460.50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460.50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267.10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267.10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90.33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90.33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45.16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45.16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28.12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28.12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108.90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108.90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37.50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105.18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105.18</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23.96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23.96</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25.98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25.98</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16.40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624.48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624.48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498.60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498.60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117.96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117.96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bl>
    <w:p>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2"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Layout w:type="fixed"/>
          <w:tblCellMar>
            <w:top w:w="55" w:type="dxa"/>
            <w:left w:w="55" w:type="dxa"/>
            <w:bottom w:w="55" w:type="dxa"/>
            <w:right w:w="55" w:type="dxa"/>
          </w:tblCellMar>
        </w:tblPrEx>
        <w:trPr>
          <w:trHeight w:val="321" w:hRule="atLeast"/>
        </w:trPr>
        <w:tc>
          <w:tcPr>
            <w:tcW w:w="15216" w:type="dxa"/>
            <w:gridSpan w:val="7"/>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321" w:hRule="atLeast"/>
        </w:trPr>
        <w:tc>
          <w:tcPr>
            <w:tcW w:w="15216" w:type="dxa"/>
            <w:gridSpan w:val="7"/>
          </w:tcPr>
          <w:p>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tblPrEx>
          <w:tblLayout w:type="fixed"/>
          <w:tblCellMar>
            <w:top w:w="55" w:type="dxa"/>
            <w:left w:w="55" w:type="dxa"/>
            <w:bottom w:w="55" w:type="dxa"/>
            <w:right w:w="55" w:type="dxa"/>
          </w:tblCellMar>
        </w:tblPrEx>
        <w:trPr>
          <w:trHeight w:val="288" w:hRule="atLeast"/>
        </w:trPr>
        <w:tc>
          <w:tcPr>
            <w:tcW w:w="13566" w:type="dxa"/>
            <w:gridSpan w:val="6"/>
          </w:tcPr>
          <w:p>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1650" w:type="dxa"/>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2,289.28</w:t>
            </w:r>
          </w:p>
        </w:tc>
        <w:tc>
          <w:tcPr>
            <w:tcW w:w="1693"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1,925.69</w:t>
            </w:r>
          </w:p>
        </w:tc>
        <w:tc>
          <w:tcPr>
            <w:tcW w:w="198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1,820.51</w:t>
            </w:r>
          </w:p>
        </w:tc>
        <w:tc>
          <w:tcPr>
            <w:tcW w:w="182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105.18</w:t>
            </w:r>
          </w:p>
        </w:tc>
        <w:tc>
          <w:tcPr>
            <w:tcW w:w="1650"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363.59</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一般公共服务支出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1,347.45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987.80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882.62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105.18</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359.65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政协事务</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1,347.45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987.80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882.62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105.18</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359.65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行政运行</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987.80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987.80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882.62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105.18</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2010202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一般行政管理事务</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269.65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269.65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2010204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政协会议</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90.00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90.00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科学技术支出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3.94</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135.49</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90.33</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90.33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90.33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45.16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45.16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45.16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802.40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108.90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108.90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108.90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656.66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656.66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656.66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36.84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36.84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36.84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3"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tblPrEx>
          <w:tblLayout w:type="fixed"/>
          <w:tblCellMar>
            <w:top w:w="55" w:type="dxa"/>
            <w:left w:w="55" w:type="dxa"/>
            <w:bottom w:w="55" w:type="dxa"/>
            <w:right w:w="55" w:type="dxa"/>
          </w:tblCellMar>
        </w:tblPrEx>
        <w:trPr>
          <w:trHeight w:val="319" w:hRule="atLeast"/>
        </w:trPr>
        <w:tc>
          <w:tcPr>
            <w:tcW w:w="10954" w:type="dxa"/>
            <w:gridSpan w:val="5"/>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tblPrEx>
          <w:tblLayout w:type="fixed"/>
          <w:tblCellMar>
            <w:top w:w="55" w:type="dxa"/>
            <w:left w:w="55" w:type="dxa"/>
            <w:bottom w:w="55" w:type="dxa"/>
            <w:right w:w="55" w:type="dxa"/>
          </w:tblCellMar>
        </w:tblPrEx>
        <w:trPr>
          <w:trHeight w:val="189" w:hRule="atLeast"/>
        </w:trPr>
        <w:tc>
          <w:tcPr>
            <w:tcW w:w="10954"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tblPrEx>
          <w:tblLayout w:type="fixed"/>
          <w:tblCellMar>
            <w:top w:w="55" w:type="dxa"/>
            <w:left w:w="55" w:type="dxa"/>
            <w:bottom w:w="55" w:type="dxa"/>
            <w:right w:w="55" w:type="dxa"/>
          </w:tblCellMar>
        </w:tblPrEx>
        <w:trPr>
          <w:trHeight w:val="138" w:hRule="atLeast"/>
        </w:trPr>
        <w:tc>
          <w:tcPr>
            <w:tcW w:w="9281"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1673"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tblPrEx>
          <w:tblLayout w:type="fixed"/>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1,925.69</w:t>
            </w:r>
          </w:p>
        </w:tc>
        <w:tc>
          <w:tcPr>
            <w:tcW w:w="197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1,820.51</w:t>
            </w:r>
          </w:p>
        </w:tc>
        <w:tc>
          <w:tcPr>
            <w:tcW w:w="167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105.18</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1,196.03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1,196.03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154.40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154.40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460.50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460.50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奖金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267.10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267.10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90.33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90.33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45.16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45.16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28.12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28.12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4.02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108.90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108.90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37.50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105.18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105.18</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23.96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23.96</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14.40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维修（护）费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公务接待费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劳务费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其他交通费用</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25.98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25.98</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16.40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624.48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624.48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退休费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498.60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498.60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117.96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117.96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Layout w:type="fixed"/>
          <w:tblCellMar>
            <w:top w:w="55" w:type="dxa"/>
            <w:left w:w="55" w:type="dxa"/>
            <w:bottom w:w="55" w:type="dxa"/>
            <w:right w:w="55" w:type="dxa"/>
          </w:tblCellMar>
        </w:tblPrEx>
        <w:trPr>
          <w:trHeight w:val="321" w:hRule="atLeast"/>
        </w:trPr>
        <w:tc>
          <w:tcPr>
            <w:tcW w:w="15909" w:type="dxa"/>
            <w:gridSpan w:val="8"/>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tblPrEx>
          <w:tblLayout w:type="fixed"/>
          <w:tblCellMar>
            <w:top w:w="55" w:type="dxa"/>
            <w:left w:w="55" w:type="dxa"/>
            <w:bottom w:w="55" w:type="dxa"/>
            <w:right w:w="55" w:type="dxa"/>
          </w:tblCellMar>
        </w:tblPrEx>
        <w:trPr>
          <w:trHeight w:val="207" w:hRule="atLeast"/>
        </w:trPr>
        <w:tc>
          <w:tcPr>
            <w:tcW w:w="15909" w:type="dxa"/>
            <w:gridSpan w:val="8"/>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Layout w:type="fixed"/>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3840" w:type="dxa"/>
            <w:gridSpan w:val="2"/>
            <w:tcBorders>
              <w:bottom w:val="single" w:color="auto" w:sz="4" w:space="0"/>
            </w:tcBorders>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培训费</w:t>
            </w:r>
          </w:p>
        </w:tc>
      </w:tr>
      <w:tr>
        <w:tblPrEx>
          <w:tblLayout w:type="fixed"/>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45.00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r>
    </w:tbl>
    <w:p>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5"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tblPrEx>
          <w:tblLayout w:type="fixed"/>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2485" w:type="dxa"/>
            <w:tcBorders>
              <w:top w:val="nil"/>
              <w:left w:val="nil"/>
              <w:bottom w:val="single" w:color="auto" w:sz="4" w:space="0"/>
              <w:right w:val="nil"/>
            </w:tcBorders>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Layout w:type="fixed"/>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tblPrEx>
          <w:tblLayout w:type="fixed"/>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p>
        </w:tc>
        <w:tc>
          <w:tcPr>
            <w:tcW w:w="2834"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
      </w:r>
      <w:r>
        <w:rPr>
          <w:rFonts w:hint="eastAsia" w:ascii="仿宋" w:hAnsi="仿宋" w:eastAsia="仿宋" w:cs="仿宋"/>
          <w:b/>
          <w:bCs/>
          <w:sz w:val="22"/>
          <w:szCs w:val="22"/>
        </w:rPr>
        <w:t>注：</w:t>
      </w:r>
      <w:r>
        <w:rPr>
          <w:rFonts w:hint="eastAsia" w:ascii="仿宋" w:hAnsi="仿宋" w:eastAsia="仿宋" w:cs="仿宋"/>
          <w:b/>
          <w:bCs/>
          <w:sz w:val="22"/>
          <w:szCs w:val="22"/>
          <w:lang w:val="en-US" w:eastAsia="zh-CN"/>
          <w:u/>
        </w:rPr>
        <w:t>本</w:t>
      </w:r>
      <w:r>
        <w:rPr>
          <w:b w:val="on"/>
          <w:rFonts w:ascii="仿宋" w:eastAsia="仿宋" w:hAnsi="仿宋" w:cs="仿宋"/>
          <w:sz w:val="22"/>
          <w:u w:color="auto"/>
        </w:rPr>
        <w:t>单位</w:t>
      </w:r>
      <w:r>
        <w:rPr>
          <w:b w:val="on"/>
          <w:rFonts w:ascii="仿宋" w:eastAsia="仿宋" w:hAnsi="仿宋" w:cs="仿宋"/>
          <w:sz w:val="22"/>
          <w:u w:color="auto"/>
        </w:rPr>
        <w:t>无政府性基金预算，也没有使用政府性基金安排的支出，故本表无数据。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6"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Ind w:w="0" w:type="dxa"/>
        <w:tblLayout w:type="fixed"/>
        <w:tblCellMar>
          <w:top w:w="0" w:type="dxa"/>
          <w:left w:w="108" w:type="dxa"/>
          <w:bottom w:w="0" w:type="dxa"/>
          <w:right w:w="108" w:type="dxa"/>
        </w:tblCellMar>
      </w:tblPr>
      <w:tblGrid>
        <w:gridCol w:w="1596"/>
        <w:gridCol w:w="3803"/>
        <w:gridCol w:w="3111"/>
        <w:gridCol w:w="3094"/>
        <w:gridCol w:w="3091"/>
      </w:tblGrid>
      <w:tr>
        <w:tblPrEx>
          <w:tblLayout w:type="fixed"/>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tblPrEx>
          <w:tblLayout w:type="fixed"/>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tblPrEx>
          <w:tblLayout w:type="fixed"/>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3091" w:type="dxa"/>
            <w:tcBorders>
              <w:top w:val="nil"/>
              <w:left w:val="nil"/>
              <w:bottom w:val="nil"/>
              <w:right w:val="nil"/>
            </w:tcBorders>
            <w:shd w:val="clear" w:color="auto" w:fill="auto"/>
            <w:noWrap/>
            <w:vAlign w:val="center"/>
          </w:tcPr>
          <w:p>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tblPrEx>
          <w:tblLayout w:type="fixed"/>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tblPrEx>
          <w:tblLayout w:type="fixed"/>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tblPrEx>
          <w:tblLayout w:type="fixed"/>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tblPrEx>
          <w:tblLayout w:type="fixed"/>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ind w:firstLine="442" w:firstLineChars="20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u/>
        </w:rPr>
        <w:t/>
      </w:r>
      <w:r>
        <w:rPr>
          <w:b w:val="on"/>
          <w:rFonts w:ascii="仿宋" w:eastAsia="仿宋" w:hAnsi="仿宋" w:cs="仿宋"/>
          <w:sz w:val="22"/>
          <w:u w:color="auto"/>
        </w:rPr>
        <w:t>注：本</w:t>
      </w:r>
      <w:r>
        <w:rPr>
          <w:b w:val="on"/>
          <w:rFonts w:ascii="仿宋" w:eastAsia="仿宋" w:hAnsi="仿宋" w:cs="仿宋"/>
          <w:sz w:val="22"/>
          <w:u w:color="auto"/>
        </w:rPr>
        <w:t>单位</w:t>
      </w:r>
      <w:r>
        <w:rPr>
          <w:b w:val="on"/>
          <w:rFonts w:ascii="仿宋" w:eastAsia="仿宋" w:hAnsi="仿宋" w:cs="仿宋"/>
          <w:sz w:val="22"/>
          <w:u w:color="auto"/>
        </w:rPr>
        <w:t>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u/>
        </w:rPr>
        <w:t>，故本表无数据。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Layout w:type="fixed"/>
          <w:tblCellMar>
            <w:top w:w="55" w:type="dxa"/>
            <w:left w:w="55" w:type="dxa"/>
            <w:bottom w:w="55" w:type="dxa"/>
            <w:right w:w="55" w:type="dxa"/>
          </w:tblCellMar>
        </w:tblPrEx>
        <w:trPr>
          <w:trHeight w:val="319" w:hRule="atLeast"/>
        </w:trPr>
        <w:tc>
          <w:tcPr>
            <w:tcW w:w="10235" w:type="dxa"/>
            <w:gridSpan w:val="4"/>
          </w:tcPr>
          <w:p>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10235" w:type="dxa"/>
            <w:gridSpan w:val="4"/>
          </w:tcPr>
          <w:p>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tblPrEx>
          <w:tblLayout w:type="fixed"/>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2351" w:type="dxa"/>
            <w:tcBorders>
              <w:bottom w:val="single" w:color="auto" w:sz="4" w:space="0"/>
            </w:tcBorders>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tblPrEx>
          <w:tblLayout w:type="fixed"/>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rPr>
              <w:t/>
            </w: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105.18</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302</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商品和服务支出</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105.18</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30201</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办公费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23.96</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30202</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印刷费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3.00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30207</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邮电费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0.20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30211</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差旅费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14.40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30213</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维修（护）费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30217</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公务接待费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30226</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劳务费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0.24</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30227</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委托业务费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30239</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其他交通费用</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25.98</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30299</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其他商品和服务支出</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16.40</w:t>
            </w:r>
          </w:p>
        </w:tc>
      </w:tr>
    </w:tbl>
    <w:p>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日常维修费、专用材料及一般设备购置费、办公用房水电费、办公用房取暖费、办公用房物业管理费、公务用车运行维护费及其他费用等。</w:t>
      </w:r>
    </w:p>
    <w:p>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7"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bookmarkStart w:id="0" w:name="_GoBack"/>
      <w:bookmarkEnd w:id="0"/>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中国人民政治协商会议苏州市姑苏区委员会（机关）</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sz w:val="22"/>
                <w:szCs w:val="22"/>
              </w:rPr>
              <w:t/>
            </w: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28.45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10.45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中国人民政治协商会议苏州市姑苏区委员会（机关）</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10.45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移动存储设备</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鼓粉盒</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墨粉盒</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0.50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卫生用纸制品</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0.50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会议费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会议费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卫生用纸制品</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多功能一体机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A3彩色打印机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A4黑白打印机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0.90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保密柜</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服务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18.00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中国人民政治协商会议苏州市姑苏区委员会（机关）</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18.00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会议费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15.00</w:t>
            </w:r>
          </w:p>
        </w:tc>
      </w:tr>
    </w:tbl>
    <w:p>
      <w:pPr>
        <w:bidi w:val="0"/>
        <w:rPr>
          <w:rFonts w:hint="eastAsia" w:ascii="仿宋" w:hAnsi="仿宋" w:eastAsia="仿宋" w:cs="仿宋"/>
          <w:b/>
          <w:bCs/>
          <w:sz w:val="22"/>
          <w:szCs w:val="22"/>
        </w:rPr>
        <w:sectPr>
          <w:footerReference r:id="rId18"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2026</w:t>
      </w:r>
      <w:r>
        <w:rPr>
          <w:rFonts w:hint="eastAsia" w:ascii="仿宋" w:hAnsi="仿宋" w:eastAsia="仿宋" w:cs="仿宋"/>
          <w:b/>
          <w:bCs/>
          <w:sz w:val="44"/>
          <w:szCs w:val="44"/>
          <w:u/>
        </w:rPr>
        <w:t>年度</w:t>
      </w:r>
      <w:r>
        <w:rPr>
          <w:b w:val="on"/>
          <w:rFonts w:ascii="仿宋" w:eastAsia="仿宋" w:hAnsi="仿宋" w:cs="仿宋"/>
          <w:sz w:val="44"/>
          <w:u w:color="auto"/>
        </w:rPr>
        <w:t>单位</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中国人民政治协商会议苏州市姑苏区委员会（机关）2026年度收入、支出预算总计2,289.28万元，与上年相比收、支预算总计各增加124.61万元，增长5.76%。其中：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（一）收入预算总计2,289.28万元。包括：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1．本年收入合计2,289.28万元。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（1）一般公共预算拨款收入2,289.28万元，与上年相比增加124.61万元，增长5.76%。主要原因是人员经费增加（1.新增转入人员；2.社保基数调整）。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（2）政府性基金预算拨款收入0万元，与上年预算数相同。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（3）国有资本经营预算拨款收入0万元，与上年预算数相同。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（4）财政专户管理资金收入0万元，与上年预算数相同。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（5）事业收入0万元，与上年预算数相同。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（6）事业单位经营收入0万元，与上年预算数相同。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（7）上级补助收入0万元，与上年预算数相同。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（8）附属单位上缴收入0万元，与上年预算数相同。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（9）其他收入0万元，与上年预算数相同。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2．上年结转结余为0万元。与上年预算数相同。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（二）支出预算总计2,289.28万元。包括：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1．本年支出合计2,289.28万元。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一般公共服务支出（类）支出1,347.45万元，主要用于单位基本支出、召开专项会议、委员视察、为参政议政进行调研及其他等方面的支出。与上年相比增加64.27万元，增长5.01%。主要原因是人员经费增加（新增人员转入）。</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（2）科学技术支出（类）支出3.94万元，主要用于信息化项目维护。与上年相比增加2.53万元，增长179.43%。主要原因是包含一部分尾款支付。</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（3）社会保障和就业支出（类）支出135.49万元，主要用于基本养老保险缴费支出以及职业年金缴费支出。与上年相比增加7.51万元，增长5.87%。主要原因是社保基数调整。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（4）住房保障支出（类）支出802.4万元，主要用于住房公积金、提租补贴以及购房补贴等支出。与上年相比增加50.3万元，增长6.69%。主要原因是1.新增人员转入；2.公积金基数调整。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2．年终结转结余为0万元。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二、收入预算情况说明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中国人民政治协商会议苏州市姑苏区委员会（机关）2026年收入预算合计2,289.28万元，包括本年收入2,289.28万元，上年结转结余0万元。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本年一般公共预算收入2,289.28万元，占100%；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本年事业单位经营收入0万元，占0%；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本年上级补助收入0万元，占0%；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本年附属单位上缴收入0万元，占0%；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本年其他收入0万元，占0%；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上年结转结余的一般公共预算收入0万元，占0%；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上年结转结余的单位资金0万元，占0%。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23"/>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三、支出预算情况说明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中国人民政治协商会议苏州市姑苏区委员会（机关）2026年支出预算合计2,289.28万元，其中：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基本支出1,925.69万元，占84.12%；</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项目支出363.59万元，占15.88%；</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事业单位经营支出0万元，占0%；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上缴上级支出0万元，占0%；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对附属单位补助支出0万元，占0%。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24"/>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四、财政拨款收支预算总体情况说明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度财政拨款收、支总预算2,289.28万元。与上年相比，财政拨款收、支总计各增加124.61万元，增长5.76%。主要原因是人员经费增加（1.新增转入人员；2.社保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五、财政拨款支出预算情况说明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财政拨款预算支出2,289.28万元，占本年支出合计的100%。与上年相比，财政拨款支出增加124.61万元，增长5.76%。主要原因是人员经费增加（1.新增转入人员；2.社保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（一）一般公共服务支出（类）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1.政协事务（款）行政运行（项）支出987.8万元，与上年相比增加102.82万元，增长11.62%。主要原因是人员经费增加（新增转入人员）。</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2.政协事务（款）一般行政管理事务（项）支出269.65万元，与上年相比减少38.55万元，减少12.51%。主要原因是街道工作经费直接预算调剂至各街道。</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3.政协事务（款）政协会议（项）支出90万元，与上年预算数相同。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（二）科学技术支出（类）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技术研究与开发（款）科技成果转化与扩散（项）支出3.94万元，与上年相比增加2.53万元，增长179.43%。主要原因是包含一部分尾款支付。</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（三）社会保障和就业支出（类）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1.行政事业单位养老支出（款）机关事业单位基本养老保险缴费支出（项）支出90.33万元，与上年相比增加5.01万元，增长5.87%。主要原因是1.新增转入人员；2.社保基数调整。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2.行政事业单位养老支出（款）机关事业单位职业年金缴费支出（项）支出45.16万元，与上年相比增加2.5万元，增长5.86%。主要原因是1.新增转入人员；2.社保基数调整。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（四）住房保障支出（类）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1.住房改革支出（款）住房公积金（项）支出108.9万元，与上年相比增加10.57万元，增长10.75%。主要原因是1.新增转入人员；2.公积金基数调整。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2.住房改革支出（款）提租补贴（项）支出656.66万元，与上年相比增加39.37万元，增长6.38%。主要原因是新增转入3人，退休2人。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3.住房改革支出（款）购房补贴（项）支出36.84万元，与上年相比增加0.36万元，增长0.99%。主要原因是购房补贴调整。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六、财政拨款基本支出预算情况说明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中国人民政治协商会议苏州市姑苏区委员会（机关）2026年度财政拨款基本支出预算1,925.69万元，其中：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1,820.51万元。主要包括：基本工资、津贴补贴、奖金、机关事业单位基本养老保险缴费、职业年金缴费、职工基本医疗保险缴费、其他社会保障缴费、住房公积金、其他工资福利支出、退休费、医疗费补助、其他对个人和家庭的补助。</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（二）公用经费105.18万元。主要包括：办公费、印刷费、邮电费、差旅费、维修（护）费、公务接待费、劳务费、委托业务费、其他交通费用、其他商品和服务支出。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七、一般公共预算支出预算情况说明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中国人民政治协商会议苏州市姑苏区委员会（机关）2026年一般公共预算财政拨款支出预算2,289.28万元，与上年相比增加124.61万元，增长5.76%。主要原因是人员经费增加（1.新增转入人员；2.社保基数调整）。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八、一般公共预算基本支出预算情况说明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中国人民政治协商会议苏州市姑苏区委员会（机关）2026年度一般公共预算财政拨款基本支出预算1,925.69万元，其中：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1,820.51万元。主要包括：基本工资、津贴补贴、奖金、机关事业单位基本养老保险缴费、职业年金缴费、职工基本医疗保险缴费、其他社会保障缴费、住房公积金、其他工资福利支出、退休费、医疗费补助、其他对个人和家庭的补助。</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（二）公用经费105.18万元。主要包括：办公费、印刷费、邮电费、差旅费、维修（护）费、公务接待费、劳务费、委托业务费、其他交通费用、其他商品和服务支出。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九、一般公共预算“三公”经费、会议费、培训费支出预算情况说明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度一般公共预算拨款安排的“三公”经费支出预算10万元，比上年预算减少4万元，变动原因公务用车减少一辆，车辆运维费减少。其中，因公出国（境）费支出0万元，占“三公”经费的0%；公务用车购置及运行维护费支出0万元，占“三公”经费的0%；公务接待费支出10万元，占“三公”经费的100%。具体情况如下：</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1．因公出国（境）费预算支出0万元，与上年预算数相同。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2．公务用车购置及运行维护费预算支出0万元。其中：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（1）公务用车购置预算支出0万元，与上年预算数相同。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（2）公务用车运行维护费预算支出0万元，比上年预算减少4万元，主要原因是公务用车减少一辆，车辆运维费减少。</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3．公务接待费预算支出10万元，与上年预算数相同。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中国人民政治协商会议苏州市姑苏区委员会（机关）2026年度一般公共预算拨款安排的会议费预算支出45万元，与上年预算数相同。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中国人民政治协商会议苏州市姑苏区委员会（机关）2026年度一般公共预算拨款安排的培训费预算支出0万元，与上年预算数相同。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十、政府性基金预算支出预算情况说明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中国人民政治协商会议苏州市姑苏区委员会（机关）2026年政府性基金支出预算支出0万元。与上年预算数相同。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十一、国有资本经营预算支出预算情况说明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中国人民政治协商会议苏州市姑苏区委员会（机关）2026年国有资本经营预算支出0万元。与上年预算数相同。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十二、一般公共预算机关运行经费支出预算情况说明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2026年本单位一般公共预算机关运行经费预算支出105.18万元，与上年相比减少0.92万元，减少0.87%。主要原因是部分经济科目作细微调整。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十三、政府采购支出预算情况说明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2026年度政府采购支出预算总额28.45万元，其中：拟采购货物支出10.45万元、拟采购工程支出0万元、拟采购服务支出18万元。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十四、国有资产占用情况说明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单位共有车辆0辆，其中，副部（省）级及以上领导用车0辆、主要负责人用车0辆、机要通信用车0辆、应急保障用车0辆、执法执勤用车0辆、特种专业技术用车0辆、离退休干部用车0辆，其他用车0辆；单价100万元（含）以上的设备0台（套）。</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十五、预算绩效目标设置情况说明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本单位整体支出纳入绩效目标管理，涉及财政性资金2,289.28万元；本单位共5个项目纳入绩效目标管理，涉及财政性资金合计363.59万元，占财政性资金(人员类和运转类中的公用经费项目支出除外)总额的比例为100%。</w:t>
      </w:r>
      <w:r>
        <w:rPr>
          <w:rFonts w:ascii="仿宋" w:eastAsia="仿宋" w:hAnsi="仿宋" w:cs="仿宋"/>
          <w:u w:color="auto"/>
        </w:rPr>
        <w:t/>
      </w:r>
    </w:p>
    <w:p>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一、财政拨款</w:t>
      </w:r>
      <w:r>
        <w:rPr>
          <w:b w:val="on"/>
          <w:rFonts w:ascii="仿宋" w:eastAsia="仿宋" w:hAnsi="仿宋" w:cs="仿宋"/>
          <w:u w:color="auto"/>
        </w:rPr>
        <w:t>：</w:t>
      </w:r>
      <w:r>
        <w:rPr>
          <w:rFonts w:hint="eastAsia" w:ascii="仿宋" w:hAnsi="仿宋" w:eastAsia="仿宋" w:cs="仿宋"/>
        </w:rPr>
        <w:t>单位从同级财政部门取得的各类财政拨款，包括一般公共预算拨款、政府性基金预算拨款、国有资本经营预算拨款。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二、财政专户管理资金</w:t>
      </w:r>
      <w:r>
        <w:rPr>
          <w:b w:val="on"/>
          <w:rFonts w:ascii="仿宋" w:eastAsia="仿宋" w:hAnsi="仿宋" w:cs="仿宋"/>
          <w:u w:color="auto"/>
        </w:rPr>
        <w:t>：</w:t>
      </w:r>
      <w:r>
        <w:rPr>
          <w:rFonts w:hint="eastAsia" w:ascii="仿宋" w:hAnsi="仿宋" w:eastAsia="仿宋" w:cs="仿宋"/>
        </w:rPr>
        <w:t>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三、单位资金</w:t>
      </w:r>
      <w:r>
        <w:rPr>
          <w:b w:val="on"/>
          <w:rFonts w:ascii="仿宋" w:eastAsia="仿宋" w:hAnsi="仿宋" w:cs="仿宋"/>
          <w:u w:color="auto"/>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四、基本支出</w:t>
      </w:r>
      <w:r>
        <w:rPr>
          <w:b w:val="on"/>
          <w:rFonts w:ascii="仿宋" w:eastAsia="仿宋" w:hAnsi="仿宋" w:cs="仿宋"/>
          <w:u w:color="auto"/>
        </w:rPr>
        <w:t>：</w:t>
      </w:r>
      <w:r>
        <w:rPr>
          <w:rFonts w:hint="eastAsia" w:ascii="仿宋" w:hAnsi="仿宋" w:eastAsia="仿宋" w:cs="仿宋"/>
        </w:rPr>
        <w:t>指为保障机构正常运转、完成工作任务而发生的人员支出和公用支出。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五、项目支出</w:t>
      </w:r>
      <w:r>
        <w:rPr>
          <w:b w:val="on"/>
          <w:rFonts w:ascii="仿宋" w:eastAsia="仿宋" w:hAnsi="仿宋" w:cs="仿宋"/>
          <w:u w:color="auto"/>
        </w:rPr>
        <w:t>：</w:t>
      </w:r>
      <w:r>
        <w:rPr>
          <w:rFonts w:hint="eastAsia" w:ascii="仿宋" w:hAnsi="仿宋" w:eastAsia="仿宋" w:cs="仿宋"/>
        </w:rPr>
        <w:t>指在基本支出之外为完成特定工作任务和事业发展目标所发生的支出。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六、“三公”经费</w:t>
      </w:r>
      <w:r>
        <w:rPr>
          <w:b w:val="on"/>
          <w:rFonts w:ascii="仿宋" w:eastAsia="仿宋" w:hAnsi="仿宋" w:cs="仿宋"/>
          <w:u w:color="auto"/>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七、机关运行经费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八、一般公共服务支出(类)政协事务(款)行政运行(项)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九、一般公共服务支出(类)政协事务(款)一般行政管理事务(项)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十、一般公共服务支出(类)政协事务(款)政协会议(项)</w:t>
      </w:r>
      <w:r>
        <w:rPr>
          <w:b w:val="on"/>
          <w:rFonts w:ascii="仿宋" w:eastAsia="仿宋" w:hAnsi="仿宋" w:cs="仿宋"/>
          <w:u w:color="auto"/>
        </w:rPr>
        <w:t>：</w:t>
      </w:r>
      <w:r>
        <w:rPr>
          <w:rFonts w:hint="eastAsia" w:ascii="仿宋" w:hAnsi="仿宋" w:eastAsia="仿宋" w:cs="仿宋"/>
        </w:rPr>
        <w:t>反映各级政协召开政治协商会议等专门会议的支出。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十一、科学技术支出(类)技术研究与开发(款)科技成果转化与扩散(项)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十二、社会保障和就业支出(类)行政事业单位养老支出(款)机关事业单位基本养老保险缴费支出(项)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十三、社会保障和就业支出(类)行政事业单位养老支出(款)机关事业单位职业年金缴费支出(项)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十四、住房保障支出(类)住房改革支出(款)住房公积金(项)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十五、住房保障支出(类)住房改革支出(款)提租补贴(项)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十六、住房保障支出(类)住房改革支出(款)购房补贴(项)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0" o:spid="_x0000_s4110"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u/>
      </w:rPr>
      <w:t>中国人民政治协商会议苏州市姑苏区委员会（机关）</w:t>
    </w:r>
    <w:r>
      <w:rPr>
        <w:u w:color="auto"/>
      </w:rPr>
      <w:t>2026</w:t>
    </w:r>
    <w:r>
      <w:rPr>
        <w:u w:color="auto"/>
      </w:rPr>
      <w:t>年度</w:t>
    </w:r>
    <w:r>
      <w:rPr>
        <w:u w:color="auto"/>
      </w:rPr>
      <w:t>单位</w:t>
    </w:r>
    <w:r>
      <w:rPr>
        <w:u w:color="auto"/>
      </w:rPr>
      <w:t>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46FE0"/>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footer14.xml" Type="http://schemas.openxmlformats.org/officeDocument/2006/relationships/footer"/><Relationship Id="rId19" Target="footer15.xml" Type="http://schemas.openxmlformats.org/officeDocument/2006/relationships/footer"/><Relationship Id="rId2" Target="settings.xml" Type="http://schemas.openxmlformats.org/officeDocument/2006/relationships/settings"/><Relationship Id="rId20" Target="theme/theme1.xml" Type="http://schemas.openxmlformats.org/officeDocument/2006/relationships/theme"/><Relationship Id="rId21" Target="../customXml/item1.xml" Type="http://schemas.openxmlformats.org/officeDocument/2006/relationships/customXml"/><Relationship Id="rId22" Target="fontTable.xml" Type="http://schemas.openxmlformats.org/officeDocument/2006/relationships/fontTable"/><Relationship Id="rId23" Target="media/image1.jpeg" Type="http://schemas.openxmlformats.org/officeDocument/2006/relationships/image"/><Relationship Id="rId24"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1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1911</Words>
  <Characters>6537</Characters>
  <Paragraphs>501</Paragraphs>
  <TotalTime>0</TotalTime>
  <ScaleCrop>false</ScaleCrop>
  <LinksUpToDate>false</LinksUpToDate>
  <CharactersWithSpaces>6554</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2026-02-26T06:28:26Z</dcterms:modified>
  <cp:revision>175</cp:revision>
  <dc:title>部门预算公开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2052-11.1.0.9021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